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E610" w14:textId="77777777" w:rsidR="00FE067E" w:rsidRPr="008B4357" w:rsidRDefault="003C6034" w:rsidP="00CC1F3B">
      <w:pPr>
        <w:pStyle w:val="TitlePageOrigin"/>
        <w:rPr>
          <w:color w:val="auto"/>
        </w:rPr>
      </w:pPr>
      <w:r w:rsidRPr="008B4357">
        <w:rPr>
          <w:caps w:val="0"/>
          <w:color w:val="auto"/>
        </w:rPr>
        <w:t>WEST VIRGINIA LEGISLATURE</w:t>
      </w:r>
    </w:p>
    <w:p w14:paraId="7073E69A" w14:textId="77777777" w:rsidR="00CD36CF" w:rsidRPr="008B4357" w:rsidRDefault="00CD36CF" w:rsidP="00CC1F3B">
      <w:pPr>
        <w:pStyle w:val="TitlePageSession"/>
        <w:rPr>
          <w:color w:val="auto"/>
        </w:rPr>
      </w:pPr>
      <w:r w:rsidRPr="008B4357">
        <w:rPr>
          <w:color w:val="auto"/>
        </w:rPr>
        <w:t>20</w:t>
      </w:r>
      <w:r w:rsidR="00EC5E63" w:rsidRPr="008B4357">
        <w:rPr>
          <w:color w:val="auto"/>
        </w:rPr>
        <w:t>2</w:t>
      </w:r>
      <w:r w:rsidR="00C62327" w:rsidRPr="008B4357">
        <w:rPr>
          <w:color w:val="auto"/>
        </w:rPr>
        <w:t>4</w:t>
      </w:r>
      <w:r w:rsidRPr="008B4357">
        <w:rPr>
          <w:color w:val="auto"/>
        </w:rPr>
        <w:t xml:space="preserve"> </w:t>
      </w:r>
      <w:r w:rsidR="003C6034" w:rsidRPr="008B4357">
        <w:rPr>
          <w:caps w:val="0"/>
          <w:color w:val="auto"/>
        </w:rPr>
        <w:t>REGULAR SESSION</w:t>
      </w:r>
    </w:p>
    <w:p w14:paraId="29628647" w14:textId="77777777" w:rsidR="00CD36CF" w:rsidRPr="008B4357" w:rsidRDefault="009912AD" w:rsidP="00CC1F3B">
      <w:pPr>
        <w:pStyle w:val="TitlePageBillPrefix"/>
        <w:rPr>
          <w:color w:val="auto"/>
        </w:rPr>
      </w:pPr>
      <w:sdt>
        <w:sdtPr>
          <w:rPr>
            <w:color w:val="auto"/>
          </w:rPr>
          <w:tag w:val="IntroDate"/>
          <w:id w:val="-1236936958"/>
          <w:placeholder>
            <w:docPart w:val="84AC338CA7834E53AF9F6B8A731C465A"/>
          </w:placeholder>
          <w:text/>
        </w:sdtPr>
        <w:sdtEndPr/>
        <w:sdtContent>
          <w:r w:rsidR="00AE48A0" w:rsidRPr="008B4357">
            <w:rPr>
              <w:color w:val="auto"/>
            </w:rPr>
            <w:t>Introduced</w:t>
          </w:r>
        </w:sdtContent>
      </w:sdt>
    </w:p>
    <w:p w14:paraId="43C60DA9" w14:textId="0BF687A6" w:rsidR="00CD36CF" w:rsidRPr="008B4357" w:rsidRDefault="009912AD" w:rsidP="00CC1F3B">
      <w:pPr>
        <w:pStyle w:val="BillNumber"/>
        <w:rPr>
          <w:color w:val="auto"/>
        </w:rPr>
      </w:pPr>
      <w:sdt>
        <w:sdtPr>
          <w:rPr>
            <w:color w:val="auto"/>
          </w:rPr>
          <w:tag w:val="Chamber"/>
          <w:id w:val="893011969"/>
          <w:lock w:val="sdtLocked"/>
          <w:placeholder>
            <w:docPart w:val="C2D48ABD14C44F6196FD6AF1BAD82F2F"/>
          </w:placeholder>
          <w:dropDownList>
            <w:listItem w:displayText="House" w:value="House"/>
            <w:listItem w:displayText="Senate" w:value="Senate"/>
          </w:dropDownList>
        </w:sdtPr>
        <w:sdtEndPr/>
        <w:sdtContent>
          <w:r w:rsidR="00236E5E" w:rsidRPr="008B4357">
            <w:rPr>
              <w:color w:val="auto"/>
            </w:rPr>
            <w:t>Senate</w:t>
          </w:r>
        </w:sdtContent>
      </w:sdt>
      <w:r w:rsidR="00303684" w:rsidRPr="008B4357">
        <w:rPr>
          <w:color w:val="auto"/>
        </w:rPr>
        <w:t xml:space="preserve"> </w:t>
      </w:r>
      <w:r w:rsidR="00CD36CF" w:rsidRPr="008B4357">
        <w:rPr>
          <w:color w:val="auto"/>
        </w:rPr>
        <w:t xml:space="preserve">Bill </w:t>
      </w:r>
      <w:sdt>
        <w:sdtPr>
          <w:rPr>
            <w:color w:val="auto"/>
          </w:rPr>
          <w:tag w:val="BNum"/>
          <w:id w:val="1645317809"/>
          <w:lock w:val="sdtLocked"/>
          <w:placeholder>
            <w:docPart w:val="9091369DFF12486ABC6DC826035D96C4"/>
          </w:placeholder>
          <w:text/>
        </w:sdtPr>
        <w:sdtEndPr/>
        <w:sdtContent>
          <w:r w:rsidR="006D05CB">
            <w:rPr>
              <w:color w:val="auto"/>
            </w:rPr>
            <w:t>4</w:t>
          </w:r>
          <w:r w:rsidR="009F65CC">
            <w:rPr>
              <w:color w:val="auto"/>
            </w:rPr>
            <w:t>6</w:t>
          </w:r>
          <w:r w:rsidR="006D05CB">
            <w:rPr>
              <w:color w:val="auto"/>
            </w:rPr>
            <w:t>9</w:t>
          </w:r>
        </w:sdtContent>
      </w:sdt>
    </w:p>
    <w:p w14:paraId="2006EB42" w14:textId="2F210B54" w:rsidR="00CD36CF" w:rsidRPr="008B4357" w:rsidRDefault="00CD36CF" w:rsidP="00CC1F3B">
      <w:pPr>
        <w:pStyle w:val="Sponsors"/>
        <w:rPr>
          <w:color w:val="auto"/>
        </w:rPr>
      </w:pPr>
      <w:r w:rsidRPr="008B4357">
        <w:rPr>
          <w:color w:val="auto"/>
        </w:rPr>
        <w:t xml:space="preserve">By </w:t>
      </w:r>
      <w:sdt>
        <w:sdtPr>
          <w:rPr>
            <w:color w:val="auto"/>
          </w:rPr>
          <w:tag w:val="Sponsors"/>
          <w:id w:val="1589585889"/>
          <w:placeholder>
            <w:docPart w:val="E39228B3F3BF4F169F546155F2CB2468"/>
          </w:placeholder>
          <w:text w:multiLine="1"/>
        </w:sdtPr>
        <w:sdtEndPr/>
        <w:sdtContent>
          <w:r w:rsidR="000E13AD" w:rsidRPr="008B4357">
            <w:rPr>
              <w:color w:val="auto"/>
            </w:rPr>
            <w:t>Senators Oliverio and Trump</w:t>
          </w:r>
        </w:sdtContent>
      </w:sdt>
    </w:p>
    <w:p w14:paraId="447BF4CE" w14:textId="125D1AC1" w:rsidR="00E831B3" w:rsidRPr="008B4357" w:rsidRDefault="00CD36CF" w:rsidP="00CC1F3B">
      <w:pPr>
        <w:pStyle w:val="References"/>
        <w:rPr>
          <w:color w:val="auto"/>
        </w:rPr>
      </w:pPr>
      <w:r w:rsidRPr="008B4357">
        <w:rPr>
          <w:color w:val="auto"/>
        </w:rPr>
        <w:t>[</w:t>
      </w:r>
      <w:sdt>
        <w:sdtPr>
          <w:rPr>
            <w:color w:val="auto"/>
          </w:rPr>
          <w:tag w:val="References"/>
          <w:id w:val="-1043047873"/>
          <w:placeholder>
            <w:docPart w:val="51CA8A26E2024E34897BF839DE46D6F0"/>
          </w:placeholder>
          <w:text w:multiLine="1"/>
        </w:sdtPr>
        <w:sdtEndPr/>
        <w:sdtContent>
          <w:r w:rsidR="00093AB0" w:rsidRPr="008B4357">
            <w:rPr>
              <w:color w:val="auto"/>
            </w:rPr>
            <w:t>Introduced</w:t>
          </w:r>
          <w:r w:rsidR="006D05CB">
            <w:rPr>
              <w:color w:val="auto"/>
            </w:rPr>
            <w:t xml:space="preserve"> January 16, 2024;</w:t>
          </w:r>
          <w:r w:rsidR="00093AB0" w:rsidRPr="008B4357">
            <w:rPr>
              <w:color w:val="auto"/>
            </w:rPr>
            <w:t xml:space="preserve"> referred</w:t>
          </w:r>
          <w:r w:rsidR="00093AB0" w:rsidRPr="008B4357">
            <w:rPr>
              <w:color w:val="auto"/>
            </w:rPr>
            <w:br/>
            <w:t>to the Committee on</w:t>
          </w:r>
          <w:r w:rsidR="009912AD">
            <w:rPr>
              <w:color w:val="auto"/>
            </w:rPr>
            <w:t xml:space="preserve"> the Judiciary</w:t>
          </w:r>
        </w:sdtContent>
      </w:sdt>
      <w:r w:rsidRPr="008B4357">
        <w:rPr>
          <w:color w:val="auto"/>
        </w:rPr>
        <w:t>]</w:t>
      </w:r>
    </w:p>
    <w:p w14:paraId="626B54A8" w14:textId="28E479DF" w:rsidR="00303684" w:rsidRPr="008B4357" w:rsidRDefault="00C23D73" w:rsidP="00CC1F3B">
      <w:pPr>
        <w:pStyle w:val="TitleSection"/>
        <w:rPr>
          <w:color w:val="auto"/>
        </w:rPr>
      </w:pPr>
      <w:r w:rsidRPr="008B4357">
        <w:rPr>
          <w:color w:val="auto"/>
        </w:rPr>
        <w:lastRenderedPageBreak/>
        <w:t>A BILL to amend the Code of West Virginia, 1931, as amended, by adding thereto a new article</w:t>
      </w:r>
      <w:r w:rsidR="00960E2C" w:rsidRPr="008B4357">
        <w:rPr>
          <w:color w:val="auto"/>
        </w:rPr>
        <w:t>,</w:t>
      </w:r>
      <w:r w:rsidRPr="008B4357">
        <w:rPr>
          <w:color w:val="auto"/>
        </w:rPr>
        <w:t xml:space="preserve"> designated §55-22-1, §55-22-2 , §55-22-3, §55-22-4, §55-22-5, §55-22-6, §55-22-7, §55-22-8, §55-22-9, §55-22-10, §55-22-11, §55-22-12, and §55-22-13, all relating generally to the Uniform Public Expression Protection Act.  </w:t>
      </w:r>
    </w:p>
    <w:p w14:paraId="4D076BF6" w14:textId="5152E28B" w:rsidR="00C23D73" w:rsidRPr="008B4357" w:rsidRDefault="00303684" w:rsidP="00C23D73">
      <w:pPr>
        <w:pStyle w:val="EnactingClause"/>
        <w:rPr>
          <w:rFonts w:cs="Times New Roman"/>
          <w:color w:val="auto"/>
        </w:rPr>
      </w:pPr>
      <w:r w:rsidRPr="008B4357">
        <w:rPr>
          <w:color w:val="auto"/>
        </w:rPr>
        <w:t>Be it enacted by the Legislature of West Virginia:</w:t>
      </w:r>
    </w:p>
    <w:p w14:paraId="27373FE5" w14:textId="77777777" w:rsidR="00C23D73" w:rsidRPr="008B4357" w:rsidRDefault="00C23D73" w:rsidP="00C23D73">
      <w:pPr>
        <w:pStyle w:val="ArticleHeading"/>
        <w:rPr>
          <w:color w:val="auto"/>
          <w:u w:val="single"/>
        </w:rPr>
      </w:pPr>
      <w:r w:rsidRPr="008B4357">
        <w:rPr>
          <w:color w:val="auto"/>
          <w:u w:val="single"/>
        </w:rPr>
        <w:t>aRTICLE 22. uniform Public expression Protection act</w:t>
      </w:r>
    </w:p>
    <w:p w14:paraId="0D9AEC9E" w14:textId="77777777" w:rsidR="00C23D73" w:rsidRPr="008B4357" w:rsidRDefault="00C23D73" w:rsidP="00C23D73">
      <w:pPr>
        <w:rPr>
          <w:rFonts w:eastAsia="Calibri" w:cs="Times New Roman"/>
          <w:b/>
          <w:caps/>
          <w:color w:val="auto"/>
          <w:sz w:val="24"/>
          <w:u w:val="single"/>
        </w:rPr>
        <w:sectPr w:rsidR="00C23D73" w:rsidRPr="008B4357" w:rsidSect="000E13AD">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299"/>
        </w:sectPr>
      </w:pPr>
    </w:p>
    <w:p w14:paraId="0B741443" w14:textId="77777777" w:rsidR="00C23D73" w:rsidRPr="008B4357" w:rsidRDefault="00C23D73" w:rsidP="00C23D73">
      <w:pPr>
        <w:pStyle w:val="SectionHeading"/>
        <w:rPr>
          <w:color w:val="auto"/>
          <w:u w:val="single"/>
        </w:r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8B4357">
        <w:rPr>
          <w:color w:val="auto"/>
          <w:u w:val="single"/>
        </w:rPr>
        <w:t xml:space="preserve">§55-22-1. </w:t>
      </w:r>
      <w:bookmarkEnd w:id="0"/>
      <w:bookmarkEnd w:id="1"/>
      <w:bookmarkEnd w:id="2"/>
      <w:bookmarkEnd w:id="3"/>
      <w:bookmarkEnd w:id="4"/>
      <w:bookmarkEnd w:id="5"/>
      <w:r w:rsidRPr="008B4357">
        <w:rPr>
          <w:color w:val="auto"/>
          <w:u w:val="single"/>
        </w:rPr>
        <w:t>Title</w:t>
      </w:r>
      <w:bookmarkEnd w:id="6"/>
      <w:bookmarkEnd w:id="7"/>
      <w:r w:rsidRPr="008B4357">
        <w:rPr>
          <w:color w:val="auto"/>
          <w:u w:val="single"/>
        </w:rPr>
        <w:t>.</w:t>
      </w:r>
    </w:p>
    <w:p w14:paraId="7F39FDEA" w14:textId="77777777" w:rsidR="00C23D73" w:rsidRPr="008B4357" w:rsidRDefault="00C23D73" w:rsidP="00C23D73">
      <w:pPr>
        <w:pStyle w:val="SectionBody"/>
        <w:rPr>
          <w:color w:val="auto"/>
          <w:u w:val="single"/>
        </w:rPr>
      </w:pPr>
      <w:r w:rsidRPr="008B4357">
        <w:rPr>
          <w:color w:val="auto"/>
          <w:u w:val="single"/>
        </w:rPr>
        <w:t>This article</w:t>
      </w:r>
      <w:r w:rsidRPr="008B4357">
        <w:rPr>
          <w:iCs/>
          <w:color w:val="auto"/>
          <w:u w:val="single"/>
        </w:rPr>
        <w:t xml:space="preserve"> </w:t>
      </w:r>
      <w:r w:rsidRPr="008B4357">
        <w:rPr>
          <w:color w:val="auto"/>
          <w:u w:val="single"/>
        </w:rPr>
        <w:t>may be cited as the Uniform Public Expression Protection Act.</w:t>
      </w:r>
    </w:p>
    <w:p w14:paraId="6ECF0752" w14:textId="77777777" w:rsidR="00C23D73" w:rsidRPr="008B4357" w:rsidRDefault="00C23D73" w:rsidP="00C23D73">
      <w:pPr>
        <w:pStyle w:val="SectionHeading"/>
        <w:rPr>
          <w:color w:val="auto"/>
          <w:u w:val="single"/>
        </w:rPr>
      </w:pPr>
      <w:r w:rsidRPr="008B4357">
        <w:rPr>
          <w:color w:val="auto"/>
          <w:u w:val="single"/>
        </w:rPr>
        <w:t>§55-22-2. Definitions.</w:t>
      </w:r>
    </w:p>
    <w:p w14:paraId="1758C4CF" w14:textId="77777777" w:rsidR="00C23D73" w:rsidRPr="008B4357" w:rsidRDefault="00C23D73" w:rsidP="00C23D73">
      <w:pPr>
        <w:rPr>
          <w:rFonts w:eastAsia="Calibri" w:cs="Times New Roman"/>
          <w:color w:val="auto"/>
          <w:u w:val="single"/>
        </w:rPr>
        <w:sectPr w:rsidR="00C23D73" w:rsidRPr="008B4357">
          <w:type w:val="continuous"/>
          <w:pgSz w:w="12240" w:h="15840"/>
          <w:pgMar w:top="1440" w:right="1440" w:bottom="1440" w:left="1440" w:header="720" w:footer="720" w:gutter="0"/>
          <w:lnNumType w:countBy="1" w:restart="newSection"/>
          <w:cols w:space="720"/>
        </w:sectPr>
      </w:pPr>
    </w:p>
    <w:p w14:paraId="438301F4" w14:textId="77777777" w:rsidR="00C23D73" w:rsidRPr="008B4357" w:rsidRDefault="00C23D73" w:rsidP="00C23D73">
      <w:pPr>
        <w:pStyle w:val="SectionBody"/>
        <w:rPr>
          <w:color w:val="auto"/>
          <w:u w:val="single"/>
        </w:rPr>
      </w:pPr>
      <w:r w:rsidRPr="008B4357">
        <w:rPr>
          <w:color w:val="auto"/>
          <w:u w:val="single"/>
        </w:rPr>
        <w:t>In this article:</w:t>
      </w:r>
    </w:p>
    <w:p w14:paraId="13EED5CB" w14:textId="5F963337" w:rsidR="00C23D73" w:rsidRPr="008B4357" w:rsidRDefault="00C23D73" w:rsidP="00C23D73">
      <w:pPr>
        <w:pStyle w:val="SectionBody"/>
        <w:rPr>
          <w:color w:val="auto"/>
          <w:u w:val="single"/>
        </w:rPr>
      </w:pPr>
      <w:r w:rsidRPr="008B4357">
        <w:rPr>
          <w:color w:val="auto"/>
          <w:u w:val="single"/>
        </w:rPr>
        <w:t xml:space="preserve">(1) </w:t>
      </w:r>
      <w:r w:rsidR="002B3B52" w:rsidRPr="008B4357">
        <w:rPr>
          <w:color w:val="auto"/>
          <w:u w:val="single"/>
        </w:rPr>
        <w:t>"</w:t>
      </w:r>
      <w:r w:rsidRPr="008B4357">
        <w:rPr>
          <w:color w:val="auto"/>
          <w:u w:val="single"/>
        </w:rPr>
        <w:t>Goods or services</w:t>
      </w:r>
      <w:r w:rsidR="002B3B52" w:rsidRPr="008B4357">
        <w:rPr>
          <w:color w:val="auto"/>
          <w:u w:val="single"/>
        </w:rPr>
        <w:t>"</w:t>
      </w:r>
      <w:r w:rsidRPr="008B4357">
        <w:rPr>
          <w:color w:val="auto"/>
          <w:u w:val="single"/>
        </w:rPr>
        <w:t xml:space="preserve"> does not include the creation, dissemination, exhibition, or advertisement or similar promotion of a dramatic, literary, musical, political, journalistic, or artistic work.</w:t>
      </w:r>
    </w:p>
    <w:p w14:paraId="4C8C92A7" w14:textId="5FA76830" w:rsidR="00C23D73" w:rsidRPr="008B4357" w:rsidRDefault="00C23D73" w:rsidP="00C23D73">
      <w:pPr>
        <w:pStyle w:val="SectionBody"/>
        <w:rPr>
          <w:color w:val="auto"/>
          <w:u w:val="single"/>
        </w:rPr>
      </w:pPr>
      <w:r w:rsidRPr="008B4357">
        <w:rPr>
          <w:color w:val="auto"/>
          <w:u w:val="single"/>
        </w:rPr>
        <w:t xml:space="preserve"> (2) </w:t>
      </w:r>
      <w:r w:rsidR="002B3B52" w:rsidRPr="008B4357">
        <w:rPr>
          <w:color w:val="auto"/>
          <w:u w:val="single"/>
        </w:rPr>
        <w:t>"</w:t>
      </w:r>
      <w:r w:rsidRPr="008B4357">
        <w:rPr>
          <w:color w:val="auto"/>
          <w:u w:val="single"/>
        </w:rPr>
        <w:t>Governmental unit</w:t>
      </w:r>
      <w:r w:rsidR="002B3B52" w:rsidRPr="008B4357">
        <w:rPr>
          <w:color w:val="auto"/>
          <w:u w:val="single"/>
        </w:rPr>
        <w:t>"</w:t>
      </w:r>
      <w:r w:rsidRPr="008B4357">
        <w:rPr>
          <w:color w:val="auto"/>
          <w:u w:val="single"/>
        </w:rPr>
        <w:t xml:space="preserve"> means a public corporation or government or governmental subdivision, agency, or instrumentality.</w:t>
      </w:r>
    </w:p>
    <w:p w14:paraId="47E2FC91" w14:textId="35C2347C" w:rsidR="00C23D73" w:rsidRPr="008B4357" w:rsidRDefault="00C23D73" w:rsidP="00C23D73">
      <w:pPr>
        <w:pStyle w:val="SectionBody"/>
        <w:rPr>
          <w:color w:val="auto"/>
          <w:u w:val="single"/>
        </w:rPr>
      </w:pPr>
      <w:r w:rsidRPr="008B4357">
        <w:rPr>
          <w:color w:val="auto"/>
          <w:u w:val="single"/>
        </w:rPr>
        <w:t xml:space="preserve">(3) </w:t>
      </w:r>
      <w:r w:rsidR="002B3B52" w:rsidRPr="008B4357">
        <w:rPr>
          <w:color w:val="auto"/>
          <w:u w:val="single"/>
        </w:rPr>
        <w:t>"</w:t>
      </w:r>
      <w:r w:rsidRPr="008B4357">
        <w:rPr>
          <w:color w:val="auto"/>
          <w:u w:val="single"/>
        </w:rPr>
        <w:t>Person</w:t>
      </w:r>
      <w:r w:rsidR="002B3B52" w:rsidRPr="008B4357">
        <w:rPr>
          <w:color w:val="auto"/>
          <w:u w:val="single"/>
        </w:rPr>
        <w:t>"</w:t>
      </w:r>
      <w:r w:rsidRPr="008B4357">
        <w:rPr>
          <w:color w:val="auto"/>
          <w:u w:val="single"/>
        </w:rPr>
        <w:t xml:space="preserve"> means an individual, estate, trust, partnership, business or nonprofit entity, governmental unit, or other legal entity.</w:t>
      </w:r>
    </w:p>
    <w:p w14:paraId="6A000FBB" w14:textId="77777777" w:rsidR="00C23D73" w:rsidRPr="008B4357" w:rsidRDefault="00C23D73" w:rsidP="00C23D73">
      <w:pPr>
        <w:pStyle w:val="SectionHeading"/>
        <w:rPr>
          <w:color w:val="auto"/>
          <w:u w:val="single"/>
        </w:rPr>
      </w:pPr>
      <w:r w:rsidRPr="008B4357">
        <w:rPr>
          <w:color w:val="auto"/>
          <w:u w:val="single"/>
        </w:rPr>
        <w:t>§55-22-3. Scope.</w:t>
      </w:r>
    </w:p>
    <w:p w14:paraId="1F685699" w14:textId="77777777" w:rsidR="00C23D73" w:rsidRPr="008B4357" w:rsidRDefault="00C23D73" w:rsidP="00C23D73">
      <w:pPr>
        <w:rPr>
          <w:rFonts w:ascii="Times New Roman" w:eastAsia="Calibri" w:hAnsi="Times New Roman" w:cs="Times New Roman"/>
          <w:color w:val="auto"/>
          <w:sz w:val="24"/>
          <w:szCs w:val="24"/>
          <w:u w:val="single"/>
        </w:rPr>
        <w:sectPr w:rsidR="00C23D73" w:rsidRPr="008B4357">
          <w:type w:val="continuous"/>
          <w:pgSz w:w="12240" w:h="15840"/>
          <w:pgMar w:top="1440" w:right="1440" w:bottom="1440" w:left="1440" w:header="720" w:footer="720" w:gutter="0"/>
          <w:lnNumType w:countBy="1" w:restart="newSection"/>
          <w:cols w:space="720"/>
        </w:sectPr>
      </w:pPr>
    </w:p>
    <w:p w14:paraId="00CEE103" w14:textId="192A6FF2" w:rsidR="00C23D73" w:rsidRPr="008B4357" w:rsidRDefault="00C23D73" w:rsidP="00C23D73">
      <w:pPr>
        <w:pStyle w:val="SectionBody"/>
        <w:rPr>
          <w:color w:val="auto"/>
          <w:u w:val="single"/>
        </w:rPr>
      </w:pPr>
      <w:r w:rsidRPr="008B4357">
        <w:rPr>
          <w:color w:val="auto"/>
          <w:u w:val="single"/>
        </w:rPr>
        <w:t>(a) Except as otherwise provided in subsection (</w:t>
      </w:r>
      <w:r w:rsidR="002D27F7" w:rsidRPr="008B4357">
        <w:rPr>
          <w:color w:val="auto"/>
          <w:u w:val="single"/>
        </w:rPr>
        <w:t>b</w:t>
      </w:r>
      <w:r w:rsidRPr="008B4357">
        <w:rPr>
          <w:color w:val="auto"/>
          <w:u w:val="single"/>
        </w:rPr>
        <w:t>), this article applies to a claim asserted in a civil action against a person based on the person’s:</w:t>
      </w:r>
    </w:p>
    <w:p w14:paraId="1B9AD0C3" w14:textId="69CD52B1" w:rsidR="00C23D73" w:rsidRPr="008B4357" w:rsidRDefault="00C23D73" w:rsidP="00BD3492">
      <w:pPr>
        <w:pStyle w:val="SectionBody"/>
        <w:rPr>
          <w:color w:val="auto"/>
          <w:u w:val="single"/>
        </w:rPr>
      </w:pPr>
      <w:r w:rsidRPr="008B4357">
        <w:rPr>
          <w:color w:val="auto"/>
          <w:u w:val="single"/>
        </w:rPr>
        <w:t>(1)</w:t>
      </w:r>
      <w:r w:rsidR="00BF138C" w:rsidRPr="008B4357">
        <w:rPr>
          <w:color w:val="auto"/>
          <w:u w:val="single"/>
        </w:rPr>
        <w:t xml:space="preserve"> </w:t>
      </w:r>
      <w:r w:rsidRPr="008B4357">
        <w:rPr>
          <w:color w:val="auto"/>
          <w:u w:val="single"/>
        </w:rPr>
        <w:t>Communication in a legislative, executive, judicial, administrative, or other governmental proceeding;</w:t>
      </w:r>
    </w:p>
    <w:p w14:paraId="1D4783D0" w14:textId="1D25F560" w:rsidR="00C23D73" w:rsidRPr="008B4357" w:rsidRDefault="00C23D73" w:rsidP="00BD3492">
      <w:pPr>
        <w:pStyle w:val="SectionBody"/>
        <w:rPr>
          <w:color w:val="auto"/>
          <w:u w:val="single"/>
        </w:rPr>
      </w:pPr>
      <w:r w:rsidRPr="008B4357">
        <w:rPr>
          <w:color w:val="auto"/>
          <w:u w:val="single"/>
        </w:rPr>
        <w:t>(2) Communication on an issue under consideration or review in a legislative, executive, judicial, administrative, or other governmental proceeding; or</w:t>
      </w:r>
    </w:p>
    <w:p w14:paraId="5B987FAA" w14:textId="3AF5774B" w:rsidR="00C23D73" w:rsidRPr="008B4357" w:rsidRDefault="00C23D73" w:rsidP="00BD3492">
      <w:pPr>
        <w:pStyle w:val="SectionBody"/>
        <w:rPr>
          <w:color w:val="auto"/>
          <w:u w:val="single"/>
        </w:rPr>
      </w:pPr>
      <w:r w:rsidRPr="008B4357">
        <w:rPr>
          <w:color w:val="auto"/>
          <w:u w:val="single"/>
        </w:rPr>
        <w:t xml:space="preserve">(3) </w:t>
      </w:r>
      <w:r w:rsidR="00BF138C" w:rsidRPr="008B4357">
        <w:rPr>
          <w:color w:val="auto"/>
          <w:u w:val="single"/>
        </w:rPr>
        <w:t>E</w:t>
      </w:r>
      <w:r w:rsidRPr="008B4357">
        <w:rPr>
          <w:color w:val="auto"/>
          <w:u w:val="single"/>
        </w:rPr>
        <w:t xml:space="preserve">xercise of the right of freedom of speech or of the press, the right to assemble or petition, or the right of association, guaranteed by the United States Constitution or West Virginia </w:t>
      </w:r>
      <w:r w:rsidRPr="008B4357">
        <w:rPr>
          <w:color w:val="auto"/>
          <w:u w:val="single"/>
        </w:rPr>
        <w:lastRenderedPageBreak/>
        <w:t xml:space="preserve">Constitution, on a matter of public concern. </w:t>
      </w:r>
    </w:p>
    <w:p w14:paraId="04668EB1" w14:textId="48959242" w:rsidR="00C23D73" w:rsidRPr="008B4357" w:rsidRDefault="00C23D73" w:rsidP="00C23D73">
      <w:pPr>
        <w:pStyle w:val="SectionBody"/>
        <w:rPr>
          <w:color w:val="auto"/>
          <w:u w:val="single"/>
        </w:rPr>
      </w:pPr>
      <w:r w:rsidRPr="008B4357">
        <w:rPr>
          <w:color w:val="auto"/>
          <w:u w:val="single"/>
        </w:rPr>
        <w:t>(b)  This article does not apply to a claim asserted:</w:t>
      </w:r>
    </w:p>
    <w:p w14:paraId="6D7CC3B6" w14:textId="0C40107E" w:rsidR="00C23D73" w:rsidRPr="008B4357" w:rsidRDefault="00C23D73" w:rsidP="00C23D73">
      <w:pPr>
        <w:pStyle w:val="SectionBody"/>
        <w:rPr>
          <w:color w:val="auto"/>
          <w:u w:val="single"/>
        </w:rPr>
      </w:pPr>
      <w:r w:rsidRPr="008B4357">
        <w:rPr>
          <w:color w:val="auto"/>
          <w:u w:val="single"/>
        </w:rPr>
        <w:t>(1) Against a governmental unit or an employee or agent of a governmental unit acting or purporting to act in an official capacity;</w:t>
      </w:r>
    </w:p>
    <w:p w14:paraId="666D0BC9" w14:textId="6CB3E6C7" w:rsidR="00C23D73" w:rsidRPr="008B4357" w:rsidRDefault="00C23D73" w:rsidP="00C23D73">
      <w:pPr>
        <w:pStyle w:val="SectionBody"/>
        <w:rPr>
          <w:color w:val="auto"/>
          <w:u w:val="single"/>
        </w:rPr>
      </w:pPr>
      <w:r w:rsidRPr="008B4357">
        <w:rPr>
          <w:color w:val="auto"/>
          <w:u w:val="single"/>
        </w:rPr>
        <w:t>(2) By a governmental unit or an employee or agent of a governmental unit acting in an official capacity to enforce a law to protect against an imminent threat to public health or safety; or</w:t>
      </w:r>
    </w:p>
    <w:p w14:paraId="006A02CD" w14:textId="7E72D1ED" w:rsidR="00C23D73" w:rsidRPr="008B4357" w:rsidRDefault="00C23D73" w:rsidP="00C23D73">
      <w:pPr>
        <w:pStyle w:val="SectionBody"/>
        <w:rPr>
          <w:color w:val="auto"/>
          <w:u w:val="single"/>
        </w:rPr>
      </w:pPr>
      <w:r w:rsidRPr="008B4357">
        <w:rPr>
          <w:color w:val="auto"/>
          <w:u w:val="single"/>
        </w:rPr>
        <w:t>(3) Against a person primarily engaged in the business of selling or leasing goods or services if the claim arises out of a communication related to the person’s sale or lease of the goods or services.</w:t>
      </w:r>
    </w:p>
    <w:p w14:paraId="7DFA31B5" w14:textId="77777777" w:rsidR="00C23D73" w:rsidRPr="008B4357" w:rsidRDefault="00C23D73" w:rsidP="00C23D73">
      <w:pPr>
        <w:pStyle w:val="SectionHeading"/>
        <w:rPr>
          <w:color w:val="auto"/>
          <w:u w:val="single"/>
        </w:rPr>
      </w:pPr>
      <w:r w:rsidRPr="008B4357">
        <w:rPr>
          <w:color w:val="auto"/>
          <w:u w:val="single"/>
        </w:rPr>
        <w:t>§55-22-4. Special Motion For Expedited Relief.</w:t>
      </w:r>
    </w:p>
    <w:p w14:paraId="0251F8A7" w14:textId="77777777" w:rsidR="00C23D73" w:rsidRPr="008B4357" w:rsidRDefault="00C23D73" w:rsidP="00C23D73">
      <w:pPr>
        <w:rPr>
          <w:rFonts w:eastAsia="Calibri" w:cs="Arial"/>
          <w:color w:val="auto"/>
          <w:sz w:val="24"/>
          <w:szCs w:val="24"/>
          <w:u w:val="single"/>
        </w:rPr>
        <w:sectPr w:rsidR="00C23D73" w:rsidRPr="008B4357" w:rsidSect="00D678FD">
          <w:footerReference w:type="default" r:id="rId13"/>
          <w:type w:val="continuous"/>
          <w:pgSz w:w="12240" w:h="15840"/>
          <w:pgMar w:top="1440" w:right="1440" w:bottom="1440" w:left="1440" w:header="720" w:footer="720" w:gutter="0"/>
          <w:lnNumType w:countBy="1" w:restart="newSection"/>
          <w:pgNumType w:start="1"/>
          <w:cols w:space="720"/>
        </w:sectPr>
      </w:pPr>
    </w:p>
    <w:p w14:paraId="1DBCBEF7" w14:textId="48086401" w:rsidR="00C23D73" w:rsidRPr="008B4357" w:rsidRDefault="00C23D73" w:rsidP="00BF138C">
      <w:pPr>
        <w:pStyle w:val="SectionBody"/>
        <w:rPr>
          <w:color w:val="auto"/>
          <w:u w:val="single"/>
        </w:rPr>
      </w:pPr>
      <w:r w:rsidRPr="008B4357">
        <w:rPr>
          <w:color w:val="auto"/>
          <w:u w:val="single"/>
        </w:rPr>
        <w:t>Not later than 60 days after a party is served with a claim, crossclaim, counterclaim, third-party claim, or other pleading that asserts a claim to which this article applies, or at a later time on a showing of good cause, the party may file a special motion for expedited relief to dismiss the claim.</w:t>
      </w:r>
    </w:p>
    <w:p w14:paraId="6CF6C838" w14:textId="77777777" w:rsidR="00C23D73" w:rsidRPr="008B4357" w:rsidRDefault="00C23D73" w:rsidP="00C23D73">
      <w:pPr>
        <w:pStyle w:val="SectionHeading"/>
        <w:rPr>
          <w:color w:val="auto"/>
          <w:u w:val="single"/>
        </w:rPr>
      </w:pPr>
      <w:r w:rsidRPr="008B4357">
        <w:rPr>
          <w:color w:val="auto"/>
          <w:u w:val="single"/>
        </w:rPr>
        <w:t>§55-22-5. Stay.</w:t>
      </w:r>
    </w:p>
    <w:p w14:paraId="526C0FEB" w14:textId="77777777" w:rsidR="00C23D73" w:rsidRPr="008B4357" w:rsidRDefault="00C23D73" w:rsidP="00C23D73">
      <w:pPr>
        <w:rPr>
          <w:rFonts w:eastAsia="Calibri" w:cs="Arial"/>
          <w:color w:val="auto"/>
          <w:sz w:val="24"/>
          <w:szCs w:val="24"/>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16AB82B7" w14:textId="585A1BEB" w:rsidR="00C23D73" w:rsidRPr="008B4357" w:rsidRDefault="00C23D73" w:rsidP="00C23D73">
      <w:pPr>
        <w:pStyle w:val="SectionBody"/>
        <w:rPr>
          <w:color w:val="auto"/>
          <w:u w:val="single"/>
        </w:rPr>
      </w:pPr>
      <w:r w:rsidRPr="008B4357">
        <w:rPr>
          <w:color w:val="auto"/>
          <w:sz w:val="24"/>
          <w:szCs w:val="24"/>
          <w:u w:val="single"/>
        </w:rPr>
        <w:t>(a</w:t>
      </w:r>
      <w:r w:rsidRPr="008B4357">
        <w:rPr>
          <w:color w:val="auto"/>
          <w:u w:val="single"/>
        </w:rPr>
        <w:t xml:space="preserve">) Except as otherwise provided in subsections (d) through (g), on the filing of a motion under </w:t>
      </w:r>
      <w:bookmarkStart w:id="8" w:name="_Hlk155814010"/>
      <w:r w:rsidR="002B1694" w:rsidRPr="008B4357">
        <w:rPr>
          <w:bCs/>
          <w:color w:val="auto"/>
          <w:u w:val="single"/>
        </w:rPr>
        <w:t>§55-22-</w:t>
      </w:r>
      <w:r w:rsidR="009C49EC" w:rsidRPr="008B4357">
        <w:rPr>
          <w:bCs/>
          <w:color w:val="auto"/>
          <w:u w:val="single"/>
        </w:rPr>
        <w:t>4</w:t>
      </w:r>
      <w:r w:rsidRPr="008B4357">
        <w:rPr>
          <w:color w:val="auto"/>
          <w:u w:val="single"/>
        </w:rPr>
        <w:t xml:space="preserve"> of this </w:t>
      </w:r>
      <w:r w:rsidR="009C49EC" w:rsidRPr="008B4357">
        <w:rPr>
          <w:color w:val="auto"/>
          <w:u w:val="single"/>
        </w:rPr>
        <w:t>code</w:t>
      </w:r>
      <w:bookmarkEnd w:id="8"/>
      <w:r w:rsidRPr="008B4357">
        <w:rPr>
          <w:color w:val="auto"/>
          <w:u w:val="single"/>
        </w:rPr>
        <w:t>:</w:t>
      </w:r>
    </w:p>
    <w:p w14:paraId="4CC25FE0" w14:textId="60FB3A32" w:rsidR="00C23D73" w:rsidRPr="008B4357" w:rsidRDefault="00C23D73" w:rsidP="00C23D73">
      <w:pPr>
        <w:pStyle w:val="SectionBody"/>
        <w:rPr>
          <w:color w:val="auto"/>
          <w:u w:val="single"/>
        </w:rPr>
      </w:pPr>
      <w:r w:rsidRPr="008B4357">
        <w:rPr>
          <w:color w:val="auto"/>
          <w:u w:val="single"/>
        </w:rPr>
        <w:t xml:space="preserve">(1) </w:t>
      </w:r>
      <w:r w:rsidR="009C49EC" w:rsidRPr="008B4357">
        <w:rPr>
          <w:color w:val="auto"/>
          <w:u w:val="single"/>
        </w:rPr>
        <w:t>A</w:t>
      </w:r>
      <w:r w:rsidRPr="008B4357">
        <w:rPr>
          <w:color w:val="auto"/>
          <w:u w:val="single"/>
        </w:rPr>
        <w:t xml:space="preserve">ll other proceedings between the moving party and responding party, including discovery and a pending hearing or motion, are stayed; and  </w:t>
      </w:r>
    </w:p>
    <w:p w14:paraId="57E4F375" w14:textId="1525EF4E" w:rsidR="00C23D73" w:rsidRPr="008B4357" w:rsidRDefault="00C23D73" w:rsidP="00C23D73">
      <w:pPr>
        <w:pStyle w:val="SectionBody"/>
        <w:rPr>
          <w:color w:val="auto"/>
          <w:u w:val="single"/>
        </w:rPr>
      </w:pPr>
      <w:r w:rsidRPr="008B4357">
        <w:rPr>
          <w:color w:val="auto"/>
          <w:u w:val="single"/>
        </w:rPr>
        <w:t xml:space="preserve">(2) </w:t>
      </w:r>
      <w:r w:rsidR="00414F60" w:rsidRPr="008B4357">
        <w:rPr>
          <w:color w:val="auto"/>
          <w:u w:val="single"/>
        </w:rPr>
        <w:t>O</w:t>
      </w:r>
      <w:r w:rsidRPr="008B4357">
        <w:rPr>
          <w:color w:val="auto"/>
          <w:u w:val="single"/>
        </w:rPr>
        <w:t xml:space="preserve">n motion by the moving party, the court may stay a hearing or motion involving another party, or discovery by another party, if the hearing or ruling on the motion would adjudicate, or the discovery would relate to, an issue material to the motion under </w:t>
      </w:r>
      <w:r w:rsidR="009C49EC" w:rsidRPr="008B4357">
        <w:rPr>
          <w:bCs/>
          <w:color w:val="auto"/>
          <w:u w:val="single"/>
        </w:rPr>
        <w:t>§55-22-4</w:t>
      </w:r>
      <w:r w:rsidR="009C49EC" w:rsidRPr="008B4357">
        <w:rPr>
          <w:color w:val="auto"/>
          <w:u w:val="single"/>
        </w:rPr>
        <w:t xml:space="preserve"> of this code</w:t>
      </w:r>
      <w:r w:rsidRPr="008B4357">
        <w:rPr>
          <w:color w:val="auto"/>
          <w:u w:val="single"/>
        </w:rPr>
        <w:t>.</w:t>
      </w:r>
    </w:p>
    <w:p w14:paraId="055CBC9A" w14:textId="39587EA2" w:rsidR="00C23D73" w:rsidRPr="008B4357" w:rsidRDefault="00C23D73" w:rsidP="00C23D73">
      <w:pPr>
        <w:pStyle w:val="SectionBody"/>
        <w:rPr>
          <w:color w:val="auto"/>
          <w:u w:val="single"/>
        </w:rPr>
      </w:pPr>
      <w:r w:rsidRPr="008B4357">
        <w:rPr>
          <w:color w:val="auto"/>
          <w:u w:val="single"/>
        </w:rPr>
        <w:t xml:space="preserve">(b) A stay under subsection (a) remains in effect until entry of an order ruling on the motion under </w:t>
      </w:r>
      <w:r w:rsidR="009C49EC" w:rsidRPr="008B4357">
        <w:rPr>
          <w:bCs/>
          <w:color w:val="auto"/>
          <w:u w:val="single"/>
        </w:rPr>
        <w:t>§55-22-4</w:t>
      </w:r>
      <w:r w:rsidR="009C49EC" w:rsidRPr="008B4357">
        <w:rPr>
          <w:color w:val="auto"/>
          <w:u w:val="single"/>
        </w:rPr>
        <w:t xml:space="preserve"> of this code </w:t>
      </w:r>
      <w:r w:rsidRPr="008B4357">
        <w:rPr>
          <w:color w:val="auto"/>
          <w:u w:val="single"/>
        </w:rPr>
        <w:t xml:space="preserve">and expiration of the time under </w:t>
      </w:r>
      <w:r w:rsidR="00DB5451" w:rsidRPr="008B4357">
        <w:rPr>
          <w:bCs/>
          <w:color w:val="auto"/>
          <w:u w:val="single"/>
        </w:rPr>
        <w:t>§55-22-10</w:t>
      </w:r>
      <w:r w:rsidR="00DB5451" w:rsidRPr="008B4357">
        <w:rPr>
          <w:color w:val="auto"/>
          <w:u w:val="single"/>
        </w:rPr>
        <w:t xml:space="preserve"> of this code </w:t>
      </w:r>
      <w:r w:rsidRPr="008B4357">
        <w:rPr>
          <w:color w:val="auto"/>
          <w:u w:val="single"/>
        </w:rPr>
        <w:t xml:space="preserve">for the moving </w:t>
      </w:r>
      <w:r w:rsidRPr="008B4357">
        <w:rPr>
          <w:color w:val="auto"/>
          <w:u w:val="single"/>
        </w:rPr>
        <w:lastRenderedPageBreak/>
        <w:t>party to appeal the order.</w:t>
      </w:r>
    </w:p>
    <w:p w14:paraId="51BC2567" w14:textId="6A0D752C" w:rsidR="00C23D73" w:rsidRPr="008B4357" w:rsidRDefault="00C23D73" w:rsidP="00C23D73">
      <w:pPr>
        <w:pStyle w:val="SectionBody"/>
        <w:rPr>
          <w:color w:val="auto"/>
          <w:u w:val="single"/>
        </w:rPr>
      </w:pPr>
      <w:r w:rsidRPr="008B4357">
        <w:rPr>
          <w:color w:val="auto"/>
          <w:u w:val="single"/>
        </w:rPr>
        <w:t xml:space="preserve">(c) Except as otherwise provided in subsections (e), (f), and (g) of this article, if a party appeals from an order ruling on a motion under </w:t>
      </w:r>
      <w:r w:rsidR="00DB5451" w:rsidRPr="008B4357">
        <w:rPr>
          <w:bCs/>
          <w:color w:val="auto"/>
          <w:u w:val="single"/>
        </w:rPr>
        <w:t>§55-22-4</w:t>
      </w:r>
      <w:r w:rsidR="00DB5451" w:rsidRPr="008B4357">
        <w:rPr>
          <w:color w:val="auto"/>
          <w:u w:val="single"/>
        </w:rPr>
        <w:t xml:space="preserve"> of this code </w:t>
      </w:r>
      <w:r w:rsidRPr="008B4357">
        <w:rPr>
          <w:color w:val="auto"/>
          <w:u w:val="single"/>
        </w:rPr>
        <w:t>of this article, all proceedings between all parties in the action are stayed.  The stay remains in effect until the conclusion of the appeal.</w:t>
      </w:r>
    </w:p>
    <w:p w14:paraId="39F3C8DE" w14:textId="0292389C" w:rsidR="00C23D73" w:rsidRPr="008B4357" w:rsidRDefault="00C23D73" w:rsidP="00C23D73">
      <w:pPr>
        <w:pStyle w:val="SectionBody"/>
        <w:rPr>
          <w:color w:val="auto"/>
          <w:u w:val="single"/>
        </w:rPr>
      </w:pPr>
      <w:r w:rsidRPr="008B4357">
        <w:rPr>
          <w:color w:val="auto"/>
          <w:u w:val="single"/>
        </w:rPr>
        <w:t xml:space="preserve">(d) During a stay under subsection (a), the court may allow limited discovery if a party shows that specific information is necessary to establish whether a party has satisfied or failed to satisfy a burden under </w:t>
      </w:r>
      <w:r w:rsidR="0090065F" w:rsidRPr="008B4357">
        <w:rPr>
          <w:bCs/>
          <w:color w:val="auto"/>
          <w:u w:val="single"/>
        </w:rPr>
        <w:t>§55-22-8(a)</w:t>
      </w:r>
      <w:r w:rsidR="0090065F" w:rsidRPr="008B4357">
        <w:rPr>
          <w:color w:val="auto"/>
          <w:u w:val="single"/>
        </w:rPr>
        <w:t xml:space="preserve"> of this code </w:t>
      </w:r>
      <w:r w:rsidRPr="008B4357">
        <w:rPr>
          <w:color w:val="auto"/>
          <w:u w:val="single"/>
        </w:rPr>
        <w:t>and the information is not reasonably available unless discovery is allowed.</w:t>
      </w:r>
    </w:p>
    <w:p w14:paraId="586DCE6E" w14:textId="566B9C14" w:rsidR="00C23D73" w:rsidRPr="008B4357" w:rsidRDefault="00C23D73" w:rsidP="00C23D73">
      <w:pPr>
        <w:pStyle w:val="SectionBody"/>
        <w:rPr>
          <w:color w:val="auto"/>
          <w:u w:val="single"/>
        </w:rPr>
      </w:pPr>
      <w:r w:rsidRPr="008B4357">
        <w:rPr>
          <w:color w:val="auto"/>
          <w:u w:val="single"/>
        </w:rPr>
        <w:t xml:space="preserve">(e) A motion under </w:t>
      </w:r>
      <w:r w:rsidR="0090065F" w:rsidRPr="008B4357">
        <w:rPr>
          <w:bCs/>
          <w:color w:val="auto"/>
          <w:u w:val="single"/>
        </w:rPr>
        <w:t>§55-22-10</w:t>
      </w:r>
      <w:r w:rsidR="0090065F" w:rsidRPr="008B4357">
        <w:rPr>
          <w:color w:val="auto"/>
          <w:u w:val="single"/>
        </w:rPr>
        <w:t xml:space="preserve"> of this code</w:t>
      </w:r>
      <w:r w:rsidRPr="008B4357">
        <w:rPr>
          <w:color w:val="auto"/>
          <w:u w:val="single"/>
        </w:rPr>
        <w:t xml:space="preserve"> for costs, attorney’s fees, and expenses is not subject to a stay under this section.</w:t>
      </w:r>
    </w:p>
    <w:p w14:paraId="07952D61" w14:textId="77777777" w:rsidR="00C23D73" w:rsidRPr="008B4357" w:rsidRDefault="00C23D73" w:rsidP="00C23D73">
      <w:pPr>
        <w:pStyle w:val="SectionBody"/>
        <w:rPr>
          <w:color w:val="auto"/>
          <w:u w:val="single"/>
        </w:rPr>
      </w:pPr>
      <w:r w:rsidRPr="008B4357">
        <w:rPr>
          <w:color w:val="auto"/>
          <w:u w:val="single"/>
        </w:rPr>
        <w:t>(f) A stay under this section does not affect a party’s ability to voluntarily dismiss a claim or move to sever a claim.</w:t>
      </w:r>
    </w:p>
    <w:p w14:paraId="00FA866F" w14:textId="77777777" w:rsidR="00C23D73" w:rsidRPr="008B4357" w:rsidRDefault="00C23D73" w:rsidP="00C23D73">
      <w:pPr>
        <w:pStyle w:val="SectionBody"/>
        <w:rPr>
          <w:color w:val="auto"/>
          <w:u w:val="single"/>
        </w:rPr>
      </w:pPr>
      <w:r w:rsidRPr="008B4357">
        <w:rPr>
          <w:color w:val="auto"/>
          <w:u w:val="single"/>
        </w:rPr>
        <w:t xml:space="preserve">(g) During a stay under this section, the court, for good cause shown, may hear and rule on: </w:t>
      </w:r>
    </w:p>
    <w:p w14:paraId="2603F989" w14:textId="06ED76FD" w:rsidR="00C23D73" w:rsidRPr="008B4357" w:rsidRDefault="00C23D73" w:rsidP="00C23D73">
      <w:pPr>
        <w:pStyle w:val="SectionBody"/>
        <w:rPr>
          <w:color w:val="auto"/>
          <w:u w:val="single"/>
        </w:rPr>
      </w:pPr>
      <w:r w:rsidRPr="008B4357">
        <w:rPr>
          <w:color w:val="auto"/>
          <w:u w:val="single"/>
        </w:rPr>
        <w:t xml:space="preserve">(1) </w:t>
      </w:r>
      <w:r w:rsidR="007B7A42" w:rsidRPr="008B4357">
        <w:rPr>
          <w:color w:val="auto"/>
          <w:u w:val="single"/>
        </w:rPr>
        <w:t>A</w:t>
      </w:r>
      <w:r w:rsidRPr="008B4357">
        <w:rPr>
          <w:color w:val="auto"/>
          <w:u w:val="single"/>
        </w:rPr>
        <w:t xml:space="preserve"> motion unrelated to the motion under </w:t>
      </w:r>
      <w:r w:rsidR="007B7A42" w:rsidRPr="008B4357">
        <w:rPr>
          <w:bCs/>
          <w:color w:val="auto"/>
          <w:u w:val="single"/>
        </w:rPr>
        <w:t>§55-22-4</w:t>
      </w:r>
      <w:r w:rsidR="007B7A42" w:rsidRPr="008B4357">
        <w:rPr>
          <w:color w:val="auto"/>
          <w:u w:val="single"/>
        </w:rPr>
        <w:t xml:space="preserve"> of this code</w:t>
      </w:r>
      <w:r w:rsidRPr="008B4357">
        <w:rPr>
          <w:color w:val="auto"/>
          <w:u w:val="single"/>
        </w:rPr>
        <w:t>; and</w:t>
      </w:r>
    </w:p>
    <w:p w14:paraId="0188D2DE" w14:textId="4B39E188" w:rsidR="00C23D73" w:rsidRPr="008B4357" w:rsidRDefault="00C23D73" w:rsidP="00C23D73">
      <w:pPr>
        <w:pStyle w:val="SectionBody"/>
        <w:rPr>
          <w:color w:val="auto"/>
          <w:u w:val="single"/>
        </w:rPr>
      </w:pPr>
      <w:r w:rsidRPr="008B4357">
        <w:rPr>
          <w:color w:val="auto"/>
          <w:u w:val="single"/>
        </w:rPr>
        <w:t xml:space="preserve">(2) </w:t>
      </w:r>
      <w:r w:rsidR="007B7A42" w:rsidRPr="008B4357">
        <w:rPr>
          <w:color w:val="auto"/>
          <w:u w:val="single"/>
        </w:rPr>
        <w:t>A</w:t>
      </w:r>
      <w:r w:rsidRPr="008B4357">
        <w:rPr>
          <w:color w:val="auto"/>
          <w:u w:val="single"/>
        </w:rPr>
        <w:t xml:space="preserve"> motion seeking a special or preliminary injunction to protect against an imminent threat to public health or safety.</w:t>
      </w:r>
    </w:p>
    <w:p w14:paraId="790E424F" w14:textId="77777777" w:rsidR="00C23D73" w:rsidRPr="008B4357" w:rsidRDefault="00C23D73" w:rsidP="00C23D73">
      <w:pPr>
        <w:pStyle w:val="SectionHeading"/>
        <w:rPr>
          <w:color w:val="auto"/>
          <w:u w:val="single"/>
        </w:rPr>
      </w:pPr>
      <w:r w:rsidRPr="008B4357">
        <w:rPr>
          <w:color w:val="auto"/>
          <w:u w:val="single"/>
        </w:rPr>
        <w:t>§55-22-6. Hearing.</w:t>
      </w:r>
    </w:p>
    <w:p w14:paraId="3312C6FA" w14:textId="77777777" w:rsidR="00C23D73" w:rsidRPr="008B4357" w:rsidRDefault="00C23D73" w:rsidP="00C23D73">
      <w:pPr>
        <w:rPr>
          <w:rFonts w:eastAsia="Calibri" w:cs="Arial"/>
          <w:color w:val="auto"/>
          <w:sz w:val="24"/>
          <w:szCs w:val="24"/>
          <w:u w:val="single"/>
        </w:rPr>
        <w:sectPr w:rsidR="00C23D73" w:rsidRPr="008B4357" w:rsidSect="00D678FD">
          <w:footerReference w:type="default" r:id="rId14"/>
          <w:type w:val="continuous"/>
          <w:pgSz w:w="12240" w:h="15840"/>
          <w:pgMar w:top="1440" w:right="1440" w:bottom="1440" w:left="1440" w:header="720" w:footer="720" w:gutter="0"/>
          <w:lnNumType w:countBy="1" w:restart="newSection"/>
          <w:pgNumType w:start="2"/>
          <w:cols w:space="720"/>
        </w:sectPr>
      </w:pPr>
    </w:p>
    <w:p w14:paraId="72682C39" w14:textId="1146B79D" w:rsidR="00C23D73" w:rsidRPr="008B4357" w:rsidRDefault="00C23D73" w:rsidP="00C23D73">
      <w:pPr>
        <w:pStyle w:val="SectionBody"/>
        <w:rPr>
          <w:color w:val="auto"/>
          <w:u w:val="single"/>
        </w:rPr>
      </w:pPr>
      <w:r w:rsidRPr="008B4357">
        <w:rPr>
          <w:color w:val="auto"/>
          <w:u w:val="single"/>
        </w:rPr>
        <w:t xml:space="preserve">(a) The court shall hear a motion under </w:t>
      </w:r>
      <w:r w:rsidR="007B7A42" w:rsidRPr="008B4357">
        <w:rPr>
          <w:bCs/>
          <w:color w:val="auto"/>
          <w:u w:val="single"/>
        </w:rPr>
        <w:t>§55-22-4</w:t>
      </w:r>
      <w:r w:rsidR="007B7A42" w:rsidRPr="008B4357">
        <w:rPr>
          <w:color w:val="auto"/>
          <w:u w:val="single"/>
        </w:rPr>
        <w:t xml:space="preserve"> of this code</w:t>
      </w:r>
      <w:r w:rsidRPr="008B4357">
        <w:rPr>
          <w:color w:val="auto"/>
          <w:u w:val="single"/>
        </w:rPr>
        <w:t xml:space="preserve"> not later than 60 days after filing of the motion, unless the court orders a later hearing:</w:t>
      </w:r>
    </w:p>
    <w:p w14:paraId="21758AE2" w14:textId="26C8E644" w:rsidR="00C23D73" w:rsidRPr="008B4357" w:rsidRDefault="00C23D73" w:rsidP="00C23D73">
      <w:pPr>
        <w:pStyle w:val="SectionBody"/>
        <w:rPr>
          <w:color w:val="auto"/>
          <w:u w:val="single"/>
        </w:rPr>
      </w:pPr>
      <w:r w:rsidRPr="008B4357">
        <w:rPr>
          <w:color w:val="auto"/>
          <w:u w:val="single"/>
        </w:rPr>
        <w:t xml:space="preserve">(1) </w:t>
      </w:r>
      <w:r w:rsidR="00710F4B" w:rsidRPr="008B4357">
        <w:rPr>
          <w:color w:val="auto"/>
          <w:u w:val="single"/>
        </w:rPr>
        <w:t>T</w:t>
      </w:r>
      <w:r w:rsidRPr="008B4357">
        <w:rPr>
          <w:color w:val="auto"/>
          <w:u w:val="single"/>
        </w:rPr>
        <w:t xml:space="preserve">o allow discovery under </w:t>
      </w:r>
      <w:r w:rsidR="00710F4B" w:rsidRPr="008B4357">
        <w:rPr>
          <w:bCs/>
          <w:color w:val="auto"/>
          <w:u w:val="single"/>
        </w:rPr>
        <w:t>§55-22-5(d)</w:t>
      </w:r>
      <w:r w:rsidR="00710F4B" w:rsidRPr="008B4357">
        <w:rPr>
          <w:color w:val="auto"/>
          <w:u w:val="single"/>
        </w:rPr>
        <w:t xml:space="preserve"> of this code</w:t>
      </w:r>
      <w:r w:rsidRPr="008B4357">
        <w:rPr>
          <w:color w:val="auto"/>
          <w:u w:val="single"/>
        </w:rPr>
        <w:t>; or</w:t>
      </w:r>
    </w:p>
    <w:p w14:paraId="355DC377" w14:textId="2DCF08FD" w:rsidR="00C23D73" w:rsidRPr="008B4357" w:rsidRDefault="00C23D73" w:rsidP="00C23D73">
      <w:pPr>
        <w:pStyle w:val="SectionBody"/>
        <w:rPr>
          <w:color w:val="auto"/>
          <w:u w:val="single"/>
        </w:rPr>
      </w:pPr>
      <w:r w:rsidRPr="008B4357">
        <w:rPr>
          <w:color w:val="auto"/>
          <w:u w:val="single"/>
        </w:rPr>
        <w:t xml:space="preserve">(2) </w:t>
      </w:r>
      <w:r w:rsidR="00710F4B" w:rsidRPr="008B4357">
        <w:rPr>
          <w:color w:val="auto"/>
          <w:u w:val="single"/>
        </w:rPr>
        <w:t>F</w:t>
      </w:r>
      <w:r w:rsidRPr="008B4357">
        <w:rPr>
          <w:color w:val="auto"/>
          <w:u w:val="single"/>
        </w:rPr>
        <w:t>or other good cause.</w:t>
      </w:r>
    </w:p>
    <w:p w14:paraId="69206B05" w14:textId="33F428FE" w:rsidR="00C23D73" w:rsidRPr="008B4357" w:rsidRDefault="00C23D73" w:rsidP="00C23D73">
      <w:pPr>
        <w:pStyle w:val="SectionBody"/>
        <w:rPr>
          <w:color w:val="auto"/>
          <w:u w:val="single"/>
        </w:rPr>
      </w:pPr>
      <w:r w:rsidRPr="008B4357">
        <w:rPr>
          <w:color w:val="auto"/>
          <w:u w:val="single"/>
        </w:rPr>
        <w:t>(b) If the court orders a later hearing under subsection (a)(1)</w:t>
      </w:r>
      <w:r w:rsidR="00DD2C7A" w:rsidRPr="008B4357">
        <w:rPr>
          <w:color w:val="auto"/>
          <w:u w:val="single"/>
        </w:rPr>
        <w:t xml:space="preserve"> of this section</w:t>
      </w:r>
      <w:r w:rsidRPr="008B4357">
        <w:rPr>
          <w:color w:val="auto"/>
          <w:u w:val="single"/>
        </w:rPr>
        <w:t xml:space="preserve">, the court shall hear the motion under </w:t>
      </w:r>
      <w:r w:rsidR="00710F4B" w:rsidRPr="008B4357">
        <w:rPr>
          <w:bCs/>
          <w:color w:val="auto"/>
          <w:u w:val="single"/>
        </w:rPr>
        <w:t>§55-22-4</w:t>
      </w:r>
      <w:r w:rsidR="00710F4B" w:rsidRPr="008B4357">
        <w:rPr>
          <w:color w:val="auto"/>
          <w:u w:val="single"/>
        </w:rPr>
        <w:t xml:space="preserve"> of this code </w:t>
      </w:r>
      <w:r w:rsidRPr="008B4357">
        <w:rPr>
          <w:color w:val="auto"/>
          <w:u w:val="single"/>
        </w:rPr>
        <w:t>not later than 60 days after the court order allowing the discovery, unless the court orders a later hearing under subsection (a)(2)</w:t>
      </w:r>
      <w:r w:rsidR="00AB0F4D" w:rsidRPr="008B4357">
        <w:rPr>
          <w:color w:val="auto"/>
          <w:u w:val="single"/>
        </w:rPr>
        <w:t xml:space="preserve"> of this section</w:t>
      </w:r>
      <w:r w:rsidRPr="008B4357">
        <w:rPr>
          <w:color w:val="auto"/>
          <w:u w:val="single"/>
        </w:rPr>
        <w:t xml:space="preserve">. </w:t>
      </w:r>
    </w:p>
    <w:p w14:paraId="1BB680E6" w14:textId="77777777" w:rsidR="00C23D73" w:rsidRPr="008B4357" w:rsidRDefault="00C23D73" w:rsidP="00C23D73">
      <w:pPr>
        <w:pStyle w:val="SectionHeading"/>
        <w:rPr>
          <w:color w:val="auto"/>
          <w:u w:val="single"/>
        </w:rPr>
      </w:pPr>
      <w:r w:rsidRPr="008B4357">
        <w:rPr>
          <w:color w:val="auto"/>
          <w:u w:val="single"/>
        </w:rPr>
        <w:lastRenderedPageBreak/>
        <w:t>§55-22-7. Proof.</w:t>
      </w:r>
    </w:p>
    <w:p w14:paraId="437BC87A" w14:textId="77777777" w:rsidR="00C23D73" w:rsidRPr="008B4357" w:rsidRDefault="00C23D73" w:rsidP="00C23D73">
      <w:pPr>
        <w:rPr>
          <w:rFonts w:ascii="Times New Roman" w:eastAsia="Calibri" w:hAnsi="Times New Roman" w:cs="Times New Roman"/>
          <w:color w:val="auto"/>
          <w:sz w:val="24"/>
          <w:szCs w:val="24"/>
          <w:u w:val="single"/>
        </w:rPr>
        <w:sectPr w:rsidR="00C23D73" w:rsidRPr="008B4357" w:rsidSect="00E45D01">
          <w:footerReference w:type="default" r:id="rId15"/>
          <w:type w:val="continuous"/>
          <w:pgSz w:w="12240" w:h="15840"/>
          <w:pgMar w:top="1440" w:right="1440" w:bottom="1440" w:left="1440" w:header="720" w:footer="720" w:gutter="0"/>
          <w:lnNumType w:countBy="1" w:restart="newSection"/>
          <w:pgNumType w:start="3"/>
          <w:cols w:space="720"/>
        </w:sectPr>
      </w:pPr>
    </w:p>
    <w:p w14:paraId="7EC6D0C0" w14:textId="1978F539"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In ruling on a motion under </w:t>
      </w:r>
      <w:r w:rsidR="00944C39" w:rsidRPr="008B4357">
        <w:rPr>
          <w:bCs/>
          <w:color w:val="auto"/>
          <w:u w:val="single"/>
        </w:rPr>
        <w:t>§55-22-4</w:t>
      </w:r>
      <w:r w:rsidR="00944C39" w:rsidRPr="008B4357">
        <w:rPr>
          <w:color w:val="auto"/>
          <w:u w:val="single"/>
        </w:rPr>
        <w:t xml:space="preserve"> of this code</w:t>
      </w:r>
      <w:r w:rsidRPr="008B4357">
        <w:rPr>
          <w:rFonts w:eastAsia="Calibri" w:cs="Arial"/>
          <w:color w:val="auto"/>
          <w:u w:val="single"/>
        </w:rPr>
        <w:t>, the court shall consider the pleadings, the motion, any reply or response to the motion, and any evidence that could be considered in ruling on a motion for summary judgment under Rule 56 of the West Virginia Rules of Civil Procedure.</w:t>
      </w:r>
    </w:p>
    <w:p w14:paraId="2C434D30" w14:textId="77777777" w:rsidR="00C23D73" w:rsidRPr="008B4357" w:rsidRDefault="00C23D73" w:rsidP="00C23D73">
      <w:pPr>
        <w:pStyle w:val="SectionHeading"/>
        <w:rPr>
          <w:color w:val="auto"/>
          <w:u w:val="single"/>
        </w:rPr>
      </w:pPr>
      <w:r w:rsidRPr="008B4357">
        <w:rPr>
          <w:color w:val="auto"/>
          <w:u w:val="single"/>
        </w:rPr>
        <w:t>§55-22-8. Dismissal of Claim.</w:t>
      </w:r>
    </w:p>
    <w:p w14:paraId="2CF4F298" w14:textId="77777777" w:rsidR="00C23D73" w:rsidRPr="008B4357" w:rsidRDefault="00C23D73" w:rsidP="00C23D73">
      <w:pPr>
        <w:rPr>
          <w:rFonts w:eastAsia="Calibri" w:cs="Arial"/>
          <w:color w:val="auto"/>
          <w:u w:val="single"/>
        </w:rPr>
        <w:sectPr w:rsidR="00C23D73" w:rsidRPr="008B4357" w:rsidSect="00D678FD">
          <w:footerReference w:type="default" r:id="rId16"/>
          <w:type w:val="continuous"/>
          <w:pgSz w:w="12240" w:h="15840"/>
          <w:pgMar w:top="1440" w:right="1440" w:bottom="1440" w:left="1440" w:header="720" w:footer="720" w:gutter="0"/>
          <w:lnNumType w:countBy="1" w:restart="newSection"/>
          <w:pgNumType w:start="4"/>
          <w:cols w:space="720"/>
        </w:sectPr>
      </w:pPr>
    </w:p>
    <w:p w14:paraId="4C0B87FC" w14:textId="7A1DFB4B" w:rsidR="00C23D73" w:rsidRPr="008B4357" w:rsidRDefault="00C23D73" w:rsidP="00C23D73">
      <w:pPr>
        <w:pStyle w:val="SectionBody"/>
        <w:rPr>
          <w:color w:val="auto"/>
          <w:u w:val="single"/>
        </w:rPr>
      </w:pPr>
      <w:r w:rsidRPr="008B4357">
        <w:rPr>
          <w:color w:val="auto"/>
          <w:u w:val="single"/>
        </w:rPr>
        <w:t xml:space="preserve">(a) In ruling on a motion under </w:t>
      </w:r>
      <w:r w:rsidR="00366A4A" w:rsidRPr="008B4357">
        <w:rPr>
          <w:bCs/>
          <w:color w:val="auto"/>
          <w:u w:val="single"/>
        </w:rPr>
        <w:t>§55-22-4</w:t>
      </w:r>
      <w:r w:rsidR="00366A4A" w:rsidRPr="008B4357">
        <w:rPr>
          <w:color w:val="auto"/>
          <w:u w:val="single"/>
        </w:rPr>
        <w:t xml:space="preserve"> of this code</w:t>
      </w:r>
      <w:r w:rsidRPr="008B4357">
        <w:rPr>
          <w:color w:val="auto"/>
          <w:u w:val="single"/>
        </w:rPr>
        <w:t>, the court shall dismiss with prejudice a claim if:</w:t>
      </w:r>
    </w:p>
    <w:p w14:paraId="716CB56C" w14:textId="73E9DDDD" w:rsidR="00C23D73" w:rsidRPr="008B4357" w:rsidRDefault="00C23D73" w:rsidP="00C23D73">
      <w:pPr>
        <w:pStyle w:val="SectionBody"/>
        <w:rPr>
          <w:color w:val="auto"/>
          <w:u w:val="single"/>
        </w:rPr>
      </w:pPr>
      <w:r w:rsidRPr="008B4357">
        <w:rPr>
          <w:color w:val="auto"/>
          <w:u w:val="single"/>
        </w:rPr>
        <w:t xml:space="preserve">(1) </w:t>
      </w:r>
      <w:r w:rsidR="005A2FE1" w:rsidRPr="008B4357">
        <w:rPr>
          <w:color w:val="auto"/>
          <w:u w:val="single"/>
        </w:rPr>
        <w:t>T</w:t>
      </w:r>
      <w:r w:rsidRPr="008B4357">
        <w:rPr>
          <w:color w:val="auto"/>
          <w:u w:val="single"/>
        </w:rPr>
        <w:t xml:space="preserve">he moving party establishes under </w:t>
      </w:r>
      <w:r w:rsidR="00366A4A" w:rsidRPr="008B4357">
        <w:rPr>
          <w:bCs/>
          <w:color w:val="auto"/>
          <w:u w:val="single"/>
        </w:rPr>
        <w:t>§55-22-</w:t>
      </w:r>
      <w:r w:rsidR="005A2FE1" w:rsidRPr="008B4357">
        <w:rPr>
          <w:bCs/>
          <w:color w:val="auto"/>
          <w:u w:val="single"/>
        </w:rPr>
        <w:t>3(a)</w:t>
      </w:r>
      <w:r w:rsidR="00366A4A" w:rsidRPr="008B4357">
        <w:rPr>
          <w:color w:val="auto"/>
          <w:u w:val="single"/>
        </w:rPr>
        <w:t xml:space="preserve"> of this code </w:t>
      </w:r>
      <w:r w:rsidRPr="008B4357">
        <w:rPr>
          <w:color w:val="auto"/>
          <w:u w:val="single"/>
        </w:rPr>
        <w:t>applies;</w:t>
      </w:r>
    </w:p>
    <w:p w14:paraId="7278D922" w14:textId="154A2371" w:rsidR="00C23D73" w:rsidRPr="008B4357" w:rsidRDefault="00C23D73" w:rsidP="00C23D73">
      <w:pPr>
        <w:pStyle w:val="SectionBody"/>
        <w:rPr>
          <w:color w:val="auto"/>
          <w:u w:val="single"/>
        </w:rPr>
      </w:pPr>
      <w:r w:rsidRPr="008B4357">
        <w:rPr>
          <w:color w:val="auto"/>
          <w:u w:val="single"/>
        </w:rPr>
        <w:t xml:space="preserve">(2) </w:t>
      </w:r>
      <w:r w:rsidR="007B1AA7" w:rsidRPr="008B4357">
        <w:rPr>
          <w:color w:val="auto"/>
          <w:u w:val="single"/>
        </w:rPr>
        <w:t>T</w:t>
      </w:r>
      <w:r w:rsidRPr="008B4357">
        <w:rPr>
          <w:color w:val="auto"/>
          <w:u w:val="single"/>
        </w:rPr>
        <w:t xml:space="preserve">he responding party fails to establish under </w:t>
      </w:r>
      <w:r w:rsidR="0034431E" w:rsidRPr="008B4357">
        <w:rPr>
          <w:bCs/>
          <w:color w:val="auto"/>
          <w:u w:val="single"/>
        </w:rPr>
        <w:t>§55-22-</w:t>
      </w:r>
      <w:r w:rsidR="007B1AA7" w:rsidRPr="008B4357">
        <w:rPr>
          <w:bCs/>
          <w:color w:val="auto"/>
          <w:u w:val="single"/>
        </w:rPr>
        <w:t>3(b)</w:t>
      </w:r>
      <w:r w:rsidR="0034431E" w:rsidRPr="008B4357">
        <w:rPr>
          <w:color w:val="auto"/>
          <w:u w:val="single"/>
        </w:rPr>
        <w:t xml:space="preserve"> of this code </w:t>
      </w:r>
      <w:r w:rsidRPr="008B4357">
        <w:rPr>
          <w:color w:val="auto"/>
          <w:u w:val="single"/>
        </w:rPr>
        <w:t>does not apply; and</w:t>
      </w:r>
    </w:p>
    <w:p w14:paraId="212ED295" w14:textId="1F81A719" w:rsidR="00C23D73" w:rsidRPr="008B4357" w:rsidRDefault="00C23D73" w:rsidP="00C23D73">
      <w:pPr>
        <w:pStyle w:val="SectionBody"/>
        <w:rPr>
          <w:color w:val="auto"/>
          <w:u w:val="single"/>
        </w:rPr>
      </w:pPr>
      <w:r w:rsidRPr="008B4357">
        <w:rPr>
          <w:color w:val="auto"/>
          <w:u w:val="single"/>
        </w:rPr>
        <w:t xml:space="preserve">(3) </w:t>
      </w:r>
      <w:r w:rsidR="007B1AA7" w:rsidRPr="008B4357">
        <w:rPr>
          <w:color w:val="auto"/>
          <w:u w:val="single"/>
        </w:rPr>
        <w:t>E</w:t>
      </w:r>
      <w:r w:rsidRPr="008B4357">
        <w:rPr>
          <w:color w:val="auto"/>
          <w:u w:val="single"/>
        </w:rPr>
        <w:t>ither:</w:t>
      </w:r>
    </w:p>
    <w:p w14:paraId="1C5160E4" w14:textId="24D366FA" w:rsidR="00C23D73" w:rsidRPr="008B4357" w:rsidRDefault="00C23D73" w:rsidP="00C23D73">
      <w:pPr>
        <w:pStyle w:val="SectionBody"/>
        <w:rPr>
          <w:color w:val="auto"/>
          <w:u w:val="single"/>
        </w:rPr>
      </w:pPr>
      <w:r w:rsidRPr="008B4357">
        <w:rPr>
          <w:color w:val="auto"/>
          <w:u w:val="single"/>
        </w:rPr>
        <w:t xml:space="preserve">(A) </w:t>
      </w:r>
      <w:r w:rsidR="007B1AA7" w:rsidRPr="008B4357">
        <w:rPr>
          <w:color w:val="auto"/>
          <w:u w:val="single"/>
        </w:rPr>
        <w:t>T</w:t>
      </w:r>
      <w:r w:rsidRPr="008B4357">
        <w:rPr>
          <w:color w:val="auto"/>
          <w:u w:val="single"/>
        </w:rPr>
        <w:t>he responding party fails to establish a prima facie case as to each essential element of the claim; or</w:t>
      </w:r>
    </w:p>
    <w:p w14:paraId="78FEDE98" w14:textId="72732921" w:rsidR="00C23D73" w:rsidRPr="008B4357" w:rsidRDefault="00C23D73" w:rsidP="00C23D73">
      <w:pPr>
        <w:pStyle w:val="SectionBody"/>
        <w:rPr>
          <w:color w:val="auto"/>
          <w:u w:val="single"/>
        </w:rPr>
      </w:pPr>
      <w:r w:rsidRPr="008B4357">
        <w:rPr>
          <w:color w:val="auto"/>
          <w:u w:val="single"/>
        </w:rPr>
        <w:t xml:space="preserve">(B) </w:t>
      </w:r>
      <w:r w:rsidR="007B1AA7" w:rsidRPr="008B4357">
        <w:rPr>
          <w:color w:val="auto"/>
          <w:u w:val="single"/>
        </w:rPr>
        <w:t>T</w:t>
      </w:r>
      <w:r w:rsidRPr="008B4357">
        <w:rPr>
          <w:color w:val="auto"/>
          <w:u w:val="single"/>
        </w:rPr>
        <w:t>he moving party establishes that:</w:t>
      </w:r>
    </w:p>
    <w:p w14:paraId="64AE7044" w14:textId="3CDEE350" w:rsidR="00C23D73" w:rsidRPr="008B4357" w:rsidRDefault="00C23D73" w:rsidP="00C23D73">
      <w:pPr>
        <w:pStyle w:val="SectionBody"/>
        <w:rPr>
          <w:color w:val="auto"/>
          <w:u w:val="single"/>
        </w:rPr>
      </w:pPr>
      <w:r w:rsidRPr="008B4357">
        <w:rPr>
          <w:color w:val="auto"/>
          <w:u w:val="single"/>
        </w:rPr>
        <w:t xml:space="preserve">(i) </w:t>
      </w:r>
      <w:r w:rsidR="00CD67CC" w:rsidRPr="008B4357">
        <w:rPr>
          <w:color w:val="auto"/>
          <w:u w:val="single"/>
        </w:rPr>
        <w:t>T</w:t>
      </w:r>
      <w:r w:rsidRPr="008B4357">
        <w:rPr>
          <w:color w:val="auto"/>
          <w:u w:val="single"/>
        </w:rPr>
        <w:t>he responding party failed to state a claim upon which relief can be granted; or</w:t>
      </w:r>
    </w:p>
    <w:p w14:paraId="1315D512" w14:textId="2CBB601F" w:rsidR="00C23D73" w:rsidRPr="008B4357" w:rsidRDefault="00C23D73" w:rsidP="00C23D73">
      <w:pPr>
        <w:pStyle w:val="SectionBody"/>
        <w:rPr>
          <w:color w:val="auto"/>
          <w:u w:val="single"/>
        </w:rPr>
      </w:pPr>
      <w:r w:rsidRPr="008B4357">
        <w:rPr>
          <w:color w:val="auto"/>
          <w:u w:val="single"/>
        </w:rPr>
        <w:t xml:space="preserve">(ii) </w:t>
      </w:r>
      <w:r w:rsidR="00CD67CC" w:rsidRPr="008B4357">
        <w:rPr>
          <w:color w:val="auto"/>
          <w:u w:val="single"/>
        </w:rPr>
        <w:t>T</w:t>
      </w:r>
      <w:r w:rsidRPr="008B4357">
        <w:rPr>
          <w:color w:val="auto"/>
          <w:u w:val="single"/>
        </w:rPr>
        <w:t>here is no genuine issue as to any material fact and the moving party is entitled to judgment as a matter of law on the claim.</w:t>
      </w:r>
    </w:p>
    <w:p w14:paraId="479BCA63" w14:textId="78C49516" w:rsidR="00C23D73" w:rsidRPr="008B4357" w:rsidRDefault="00CD67CC" w:rsidP="00C23D73">
      <w:pPr>
        <w:pStyle w:val="SectionBody"/>
        <w:rPr>
          <w:color w:val="auto"/>
          <w:u w:val="single"/>
        </w:rPr>
      </w:pPr>
      <w:r w:rsidRPr="008B4357">
        <w:rPr>
          <w:color w:val="auto"/>
          <w:u w:val="single"/>
        </w:rPr>
        <w:t xml:space="preserve">(b) </w:t>
      </w:r>
      <w:r w:rsidR="00C23D73" w:rsidRPr="008B4357">
        <w:rPr>
          <w:color w:val="auto"/>
          <w:u w:val="single"/>
        </w:rPr>
        <w:t xml:space="preserve">A voluntary dismissal without prejudice of a responding party’s claim, or part of a claim, that is the subject of a motion under </w:t>
      </w:r>
      <w:r w:rsidRPr="008B4357">
        <w:rPr>
          <w:bCs/>
          <w:color w:val="auto"/>
          <w:u w:val="single"/>
        </w:rPr>
        <w:t>§55-22-4</w:t>
      </w:r>
      <w:r w:rsidRPr="008B4357">
        <w:rPr>
          <w:color w:val="auto"/>
          <w:u w:val="single"/>
        </w:rPr>
        <w:t xml:space="preserve"> of this code </w:t>
      </w:r>
      <w:r w:rsidR="00C23D73" w:rsidRPr="008B4357">
        <w:rPr>
          <w:color w:val="auto"/>
          <w:u w:val="single"/>
        </w:rPr>
        <w:t>does not affect a moving party</w:t>
      </w:r>
      <w:r w:rsidR="00A62A31" w:rsidRPr="008B4357">
        <w:rPr>
          <w:color w:val="auto"/>
          <w:u w:val="single"/>
        </w:rPr>
        <w:t>'</w:t>
      </w:r>
      <w:r w:rsidR="00C23D73" w:rsidRPr="008B4357">
        <w:rPr>
          <w:color w:val="auto"/>
          <w:u w:val="single"/>
        </w:rPr>
        <w:t>s right to obtain a ruling on the motion and seek costs, attorney</w:t>
      </w:r>
      <w:r w:rsidR="00A62A31" w:rsidRPr="008B4357">
        <w:rPr>
          <w:color w:val="auto"/>
          <w:u w:val="single"/>
        </w:rPr>
        <w:t>'</w:t>
      </w:r>
      <w:r w:rsidR="00C23D73" w:rsidRPr="008B4357">
        <w:rPr>
          <w:color w:val="auto"/>
          <w:u w:val="single"/>
        </w:rPr>
        <w:t xml:space="preserve">s fees, and expenses under </w:t>
      </w:r>
      <w:r w:rsidR="002B0881" w:rsidRPr="008B4357">
        <w:rPr>
          <w:bCs/>
          <w:color w:val="auto"/>
          <w:u w:val="single"/>
        </w:rPr>
        <w:t>§55-22-11</w:t>
      </w:r>
      <w:r w:rsidR="002B0881" w:rsidRPr="008B4357">
        <w:rPr>
          <w:color w:val="auto"/>
          <w:u w:val="single"/>
        </w:rPr>
        <w:t xml:space="preserve"> of this code</w:t>
      </w:r>
      <w:r w:rsidR="00C23D73" w:rsidRPr="008B4357">
        <w:rPr>
          <w:color w:val="auto"/>
          <w:u w:val="single"/>
        </w:rPr>
        <w:t>.</w:t>
      </w:r>
    </w:p>
    <w:p w14:paraId="3EB0104E" w14:textId="754A94DD" w:rsidR="00C23D73" w:rsidRPr="008B4357" w:rsidRDefault="00C23D73" w:rsidP="00C23D73">
      <w:pPr>
        <w:pStyle w:val="SectionBody"/>
        <w:rPr>
          <w:color w:val="auto"/>
          <w:u w:val="single"/>
        </w:rPr>
      </w:pPr>
      <w:r w:rsidRPr="008B4357">
        <w:rPr>
          <w:color w:val="auto"/>
          <w:u w:val="single"/>
        </w:rPr>
        <w:t>(c)</w:t>
      </w:r>
      <w:r w:rsidR="002B0881" w:rsidRPr="008B4357">
        <w:rPr>
          <w:color w:val="auto"/>
          <w:u w:val="single"/>
        </w:rPr>
        <w:t xml:space="preserve"> </w:t>
      </w:r>
      <w:r w:rsidRPr="008B4357">
        <w:rPr>
          <w:color w:val="auto"/>
          <w:u w:val="single"/>
        </w:rPr>
        <w:t xml:space="preserve">A voluntary dismissal with prejudice of a responding party’s claim, or part of a claim, that is the subject of a motion under </w:t>
      </w:r>
      <w:r w:rsidR="002B0881" w:rsidRPr="008B4357">
        <w:rPr>
          <w:bCs/>
          <w:color w:val="auto"/>
          <w:u w:val="single"/>
        </w:rPr>
        <w:t>§55-22-4</w:t>
      </w:r>
      <w:r w:rsidR="002B0881" w:rsidRPr="008B4357">
        <w:rPr>
          <w:color w:val="auto"/>
          <w:u w:val="single"/>
        </w:rPr>
        <w:t xml:space="preserve"> of this code</w:t>
      </w:r>
      <w:r w:rsidRPr="008B4357">
        <w:rPr>
          <w:color w:val="auto"/>
          <w:u w:val="single"/>
        </w:rPr>
        <w:t xml:space="preserve"> establishes for the purpose of </w:t>
      </w:r>
      <w:r w:rsidR="002B0881" w:rsidRPr="008B4357">
        <w:rPr>
          <w:bCs/>
          <w:color w:val="auto"/>
          <w:u w:val="single"/>
        </w:rPr>
        <w:t>§55-22-11</w:t>
      </w:r>
      <w:r w:rsidR="002B0881" w:rsidRPr="008B4357">
        <w:rPr>
          <w:color w:val="auto"/>
          <w:u w:val="single"/>
        </w:rPr>
        <w:t xml:space="preserve"> of this code</w:t>
      </w:r>
      <w:r w:rsidRPr="008B4357">
        <w:rPr>
          <w:color w:val="auto"/>
          <w:u w:val="single"/>
        </w:rPr>
        <w:t xml:space="preserve"> that the moving party prevailed on the motion.</w:t>
      </w:r>
    </w:p>
    <w:p w14:paraId="036E6019" w14:textId="77777777" w:rsidR="00C23D73" w:rsidRPr="008B4357" w:rsidRDefault="00C23D73" w:rsidP="00C23D73">
      <w:pPr>
        <w:pStyle w:val="SectionHeading"/>
        <w:rPr>
          <w:color w:val="auto"/>
          <w:u w:val="single"/>
        </w:rPr>
      </w:pPr>
      <w:r w:rsidRPr="008B4357">
        <w:rPr>
          <w:color w:val="auto"/>
          <w:u w:val="single"/>
        </w:rPr>
        <w:t>§55-22-9. Ruling.</w:t>
      </w:r>
    </w:p>
    <w:p w14:paraId="3C6957CE" w14:textId="77777777" w:rsidR="00C23D73" w:rsidRPr="008B4357" w:rsidRDefault="00C23D73" w:rsidP="00C23D73">
      <w:pPr>
        <w:rPr>
          <w:rFonts w:eastAsia="Calibri" w:cs="Arial"/>
          <w:color w:val="auto"/>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305A4092" w14:textId="16FA9E9E" w:rsidR="00C23D73" w:rsidRPr="008B4357" w:rsidRDefault="00C23D73" w:rsidP="00C23D73">
      <w:pPr>
        <w:pStyle w:val="SectionBody"/>
        <w:rPr>
          <w:color w:val="auto"/>
          <w:u w:val="single"/>
        </w:rPr>
      </w:pPr>
      <w:r w:rsidRPr="008B4357">
        <w:rPr>
          <w:color w:val="auto"/>
          <w:u w:val="single"/>
        </w:rPr>
        <w:lastRenderedPageBreak/>
        <w:t xml:space="preserve">The court shall rule on a motion under </w:t>
      </w:r>
      <w:r w:rsidR="002B0881" w:rsidRPr="008B4357">
        <w:rPr>
          <w:bCs/>
          <w:color w:val="auto"/>
          <w:u w:val="single"/>
        </w:rPr>
        <w:t>§55-22-4</w:t>
      </w:r>
      <w:r w:rsidR="002B0881" w:rsidRPr="008B4357">
        <w:rPr>
          <w:color w:val="auto"/>
          <w:u w:val="single"/>
        </w:rPr>
        <w:t xml:space="preserve"> of this code</w:t>
      </w:r>
      <w:r w:rsidRPr="008B4357">
        <w:rPr>
          <w:color w:val="auto"/>
          <w:u w:val="single"/>
        </w:rPr>
        <w:t xml:space="preserve"> not later than 60 days after a hearing under </w:t>
      </w:r>
      <w:r w:rsidR="002B0881" w:rsidRPr="008B4357">
        <w:rPr>
          <w:bCs/>
          <w:color w:val="auto"/>
          <w:u w:val="single"/>
        </w:rPr>
        <w:t>§55-22-6</w:t>
      </w:r>
      <w:r w:rsidR="002B0881" w:rsidRPr="008B4357">
        <w:rPr>
          <w:color w:val="auto"/>
          <w:u w:val="single"/>
        </w:rPr>
        <w:t xml:space="preserve"> of this code</w:t>
      </w:r>
      <w:r w:rsidRPr="008B4357">
        <w:rPr>
          <w:color w:val="auto"/>
          <w:u w:val="single"/>
        </w:rPr>
        <w:t>.</w:t>
      </w:r>
    </w:p>
    <w:p w14:paraId="116BE680" w14:textId="77777777" w:rsidR="00C23D73" w:rsidRPr="008B4357" w:rsidRDefault="00C23D73" w:rsidP="00C23D73">
      <w:pPr>
        <w:pStyle w:val="SectionHeading"/>
        <w:rPr>
          <w:rFonts w:cs="Times New Roman"/>
          <w:color w:val="auto"/>
          <w:u w:val="single"/>
        </w:rPr>
      </w:pPr>
      <w:r w:rsidRPr="008B4357">
        <w:rPr>
          <w:color w:val="auto"/>
          <w:u w:val="single"/>
        </w:rPr>
        <w:t>§55-22-10. Appeal.</w:t>
      </w:r>
    </w:p>
    <w:p w14:paraId="73767E95" w14:textId="77777777" w:rsidR="00C23D73" w:rsidRPr="008B4357" w:rsidRDefault="00C23D73" w:rsidP="00C23D73">
      <w:pPr>
        <w:rPr>
          <w:rFonts w:eastAsia="Calibri" w:cs="Arial"/>
          <w:color w:val="auto"/>
          <w:u w:val="single"/>
        </w:rPr>
        <w:sectPr w:rsidR="00C23D73" w:rsidRPr="008B4357" w:rsidSect="00E45D01">
          <w:footerReference w:type="default" r:id="rId17"/>
          <w:type w:val="continuous"/>
          <w:pgSz w:w="12240" w:h="15840"/>
          <w:pgMar w:top="1440" w:right="1440" w:bottom="1440" w:left="1440" w:header="720" w:footer="720" w:gutter="0"/>
          <w:lnNumType w:countBy="1" w:restart="newSection"/>
          <w:pgNumType w:start="5"/>
          <w:cols w:space="720"/>
        </w:sectPr>
      </w:pPr>
    </w:p>
    <w:p w14:paraId="23E32247" w14:textId="5B18CDD1" w:rsidR="00C23D73" w:rsidRPr="008B4357" w:rsidRDefault="00C23D73" w:rsidP="00C23D73">
      <w:pPr>
        <w:keepNext/>
        <w:keepLines/>
        <w:widowControl w:val="0"/>
        <w:ind w:firstLine="720"/>
        <w:jc w:val="both"/>
        <w:rPr>
          <w:rFonts w:eastAsia="Calibri" w:cs="Arial"/>
          <w:color w:val="auto"/>
          <w:u w:val="single"/>
        </w:rPr>
      </w:pPr>
      <w:r w:rsidRPr="008B4357">
        <w:rPr>
          <w:rFonts w:eastAsia="Calibri" w:cs="Arial"/>
          <w:color w:val="auto"/>
          <w:u w:val="single"/>
        </w:rPr>
        <w:t xml:space="preserve">In accordance with the provisions of §51-11-1 </w:t>
      </w:r>
      <w:r w:rsidRPr="008B4357">
        <w:rPr>
          <w:rFonts w:eastAsia="Calibri" w:cs="Arial"/>
          <w:i/>
          <w:iCs/>
          <w:color w:val="auto"/>
          <w:u w:val="single"/>
        </w:rPr>
        <w:t>et seq</w:t>
      </w:r>
      <w:r w:rsidRPr="008B4357">
        <w:rPr>
          <w:rFonts w:eastAsia="Calibri" w:cs="Arial"/>
          <w:color w:val="auto"/>
          <w:u w:val="single"/>
        </w:rPr>
        <w:t>. of this code</w:t>
      </w:r>
      <w:r w:rsidRPr="008B4357">
        <w:rPr>
          <w:rFonts w:ascii="Times New Roman" w:eastAsia="Calibri" w:hAnsi="Times New Roman" w:cs="Calibri"/>
          <w:color w:val="auto"/>
          <w:sz w:val="24"/>
          <w:szCs w:val="24"/>
          <w:u w:val="single"/>
        </w:rPr>
        <w:t>, a</w:t>
      </w:r>
      <w:r w:rsidRPr="008B4357">
        <w:rPr>
          <w:rFonts w:eastAsia="Calibri" w:cs="Arial"/>
          <w:color w:val="auto"/>
          <w:u w:val="single"/>
        </w:rPr>
        <w:t xml:space="preserve"> moving party may appeal as a matter of right from an order denying, in whole or in part, a motion under </w:t>
      </w:r>
      <w:r w:rsidR="00F676FC" w:rsidRPr="008B4357">
        <w:rPr>
          <w:bCs/>
          <w:color w:val="auto"/>
          <w:u w:val="single"/>
        </w:rPr>
        <w:t>§55-22-4</w:t>
      </w:r>
      <w:r w:rsidR="00F676FC" w:rsidRPr="008B4357">
        <w:rPr>
          <w:color w:val="auto"/>
          <w:u w:val="single"/>
        </w:rPr>
        <w:t xml:space="preserve"> of this code.</w:t>
      </w:r>
    </w:p>
    <w:p w14:paraId="5BA6B2EA" w14:textId="77777777" w:rsidR="00C23D73" w:rsidRPr="008B4357" w:rsidRDefault="00C23D73" w:rsidP="00C23D73">
      <w:pPr>
        <w:pStyle w:val="SectionHeading"/>
        <w:rPr>
          <w:color w:val="auto"/>
          <w:u w:val="single"/>
        </w:rPr>
      </w:pPr>
      <w:r w:rsidRPr="008B4357">
        <w:rPr>
          <w:color w:val="auto"/>
          <w:u w:val="single"/>
        </w:rPr>
        <w:t>§55-22-11. Costs, Attorney's Fees, and Expenses.</w:t>
      </w:r>
    </w:p>
    <w:p w14:paraId="252AB2E5" w14:textId="77777777" w:rsidR="00C23D73" w:rsidRPr="008B4357" w:rsidRDefault="00C23D73" w:rsidP="00C23D73">
      <w:pPr>
        <w:rPr>
          <w:rFonts w:eastAsia="Calibri" w:cs="Arial"/>
          <w:color w:val="auto"/>
          <w:sz w:val="24"/>
          <w:szCs w:val="24"/>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721DC6A4" w14:textId="247E8562"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On a motion under </w:t>
      </w:r>
      <w:r w:rsidR="00B2578B" w:rsidRPr="008B4357">
        <w:rPr>
          <w:bCs/>
          <w:color w:val="auto"/>
          <w:u w:val="single"/>
        </w:rPr>
        <w:t>§55-22-4</w:t>
      </w:r>
      <w:r w:rsidR="00B2578B" w:rsidRPr="008B4357">
        <w:rPr>
          <w:color w:val="auto"/>
          <w:u w:val="single"/>
        </w:rPr>
        <w:t xml:space="preserve"> of this code</w:t>
      </w:r>
      <w:r w:rsidRPr="008B4357">
        <w:rPr>
          <w:rFonts w:eastAsia="Calibri" w:cs="Arial"/>
          <w:color w:val="auto"/>
          <w:u w:val="single"/>
        </w:rPr>
        <w:t>, the court shall award court costs, reasonable attorney’s fees, and reasonable litigation expenses related to the motion:</w:t>
      </w:r>
    </w:p>
    <w:p w14:paraId="7B5A7E68" w14:textId="1830E32D"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(1) </w:t>
      </w:r>
      <w:r w:rsidR="00B2578B" w:rsidRPr="008B4357">
        <w:rPr>
          <w:rFonts w:eastAsia="Calibri" w:cs="Arial"/>
          <w:color w:val="auto"/>
          <w:u w:val="single"/>
        </w:rPr>
        <w:t>T</w:t>
      </w:r>
      <w:r w:rsidRPr="008B4357">
        <w:rPr>
          <w:rFonts w:eastAsia="Calibri" w:cs="Arial"/>
          <w:color w:val="auto"/>
          <w:u w:val="single"/>
        </w:rPr>
        <w:t>o the moving party if the moving party prevails on the motion; or</w:t>
      </w:r>
    </w:p>
    <w:p w14:paraId="59B04D4C" w14:textId="3928CC34" w:rsidR="00C23D73" w:rsidRPr="008B4357" w:rsidRDefault="00C23D73" w:rsidP="00C23D73">
      <w:pPr>
        <w:widowControl w:val="0"/>
        <w:jc w:val="both"/>
        <w:rPr>
          <w:rFonts w:eastAsia="Calibri" w:cs="Arial"/>
          <w:color w:val="auto"/>
          <w:u w:val="single"/>
        </w:rPr>
      </w:pPr>
      <w:r w:rsidRPr="008B4357">
        <w:rPr>
          <w:rFonts w:eastAsia="Calibri" w:cs="Arial"/>
          <w:color w:val="auto"/>
        </w:rPr>
        <w:tab/>
      </w:r>
      <w:r w:rsidRPr="008B4357">
        <w:rPr>
          <w:rFonts w:eastAsia="Calibri" w:cs="Arial"/>
          <w:color w:val="auto"/>
          <w:u w:val="single"/>
        </w:rPr>
        <w:t xml:space="preserve">(2) </w:t>
      </w:r>
      <w:r w:rsidR="00B2578B" w:rsidRPr="008B4357">
        <w:rPr>
          <w:rFonts w:eastAsia="Calibri" w:cs="Arial"/>
          <w:color w:val="auto"/>
          <w:u w:val="single"/>
        </w:rPr>
        <w:t>T</w:t>
      </w:r>
      <w:r w:rsidRPr="008B4357">
        <w:rPr>
          <w:rFonts w:eastAsia="Calibri" w:cs="Arial"/>
          <w:color w:val="auto"/>
          <w:u w:val="single"/>
        </w:rPr>
        <w:t>o the responding party if the responding party prevails on the motion and the court finds that the motion was frivolous or filed solely with intent to delay the proceeding.</w:t>
      </w:r>
    </w:p>
    <w:p w14:paraId="5B923DA4" w14:textId="77777777" w:rsidR="00C23D73" w:rsidRPr="008B4357" w:rsidRDefault="00C23D73" w:rsidP="00C23D73">
      <w:pPr>
        <w:pStyle w:val="SectionHeading"/>
        <w:rPr>
          <w:color w:val="auto"/>
          <w:u w:val="single"/>
        </w:rPr>
      </w:pPr>
      <w:r w:rsidRPr="008B4357">
        <w:rPr>
          <w:color w:val="auto"/>
          <w:u w:val="single"/>
        </w:rPr>
        <w:t>§55-22-12. Construction.</w:t>
      </w:r>
    </w:p>
    <w:p w14:paraId="14539F09" w14:textId="77777777" w:rsidR="00C23D73" w:rsidRPr="008B4357" w:rsidRDefault="00C23D73" w:rsidP="00C23D73">
      <w:pPr>
        <w:rPr>
          <w:rFonts w:eastAsia="Calibri" w:cs="Arial"/>
          <w:color w:val="auto"/>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6708E9AB" w14:textId="77777777"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This article must be broadly construed and applied to protect the exercise of the right of freedom of speech and of the press, the right to assemble and petition, and the right of association, guaranteed by the United States Constitution or the West Virginia Constitution.</w:t>
      </w:r>
    </w:p>
    <w:p w14:paraId="5BF9374F" w14:textId="77777777" w:rsidR="00C23D73" w:rsidRPr="008B4357" w:rsidRDefault="00C23D73" w:rsidP="00C23D73">
      <w:pPr>
        <w:pStyle w:val="SectionHeading"/>
        <w:rPr>
          <w:color w:val="auto"/>
          <w:u w:val="single"/>
        </w:rPr>
      </w:pPr>
      <w:r w:rsidRPr="008B4357">
        <w:rPr>
          <w:color w:val="auto"/>
          <w:u w:val="single"/>
        </w:rPr>
        <w:t>§55-22-13. Uniformity of Application and Construction.</w:t>
      </w:r>
    </w:p>
    <w:p w14:paraId="02CBCB03" w14:textId="77777777" w:rsidR="00C23D73" w:rsidRPr="008B4357" w:rsidRDefault="00C23D73" w:rsidP="00C23D73">
      <w:pPr>
        <w:rPr>
          <w:rFonts w:eastAsia="Calibri" w:cs="Arial"/>
          <w:color w:val="auto"/>
          <w:u w:val="single"/>
        </w:rPr>
        <w:sectPr w:rsidR="00C23D73" w:rsidRPr="008B4357">
          <w:type w:val="continuous"/>
          <w:pgSz w:w="12240" w:h="15840"/>
          <w:pgMar w:top="1440" w:right="1440" w:bottom="1440" w:left="1440" w:header="720" w:footer="720" w:gutter="0"/>
          <w:lnNumType w:countBy="1" w:restart="newSection"/>
          <w:pgNumType w:start="0"/>
          <w:cols w:space="720"/>
        </w:sectPr>
      </w:pPr>
    </w:p>
    <w:p w14:paraId="5F37E87C" w14:textId="77777777" w:rsidR="00C23D73" w:rsidRPr="008B4357" w:rsidRDefault="00C23D73" w:rsidP="00C23D73">
      <w:pPr>
        <w:widowControl w:val="0"/>
        <w:ind w:firstLine="720"/>
        <w:jc w:val="both"/>
        <w:rPr>
          <w:rFonts w:eastAsia="Calibri" w:cs="Arial"/>
          <w:color w:val="auto"/>
          <w:u w:val="single"/>
        </w:rPr>
      </w:pPr>
      <w:r w:rsidRPr="008B4357">
        <w:rPr>
          <w:rFonts w:eastAsia="Calibri" w:cs="Arial"/>
          <w:color w:val="auto"/>
          <w:u w:val="single"/>
        </w:rPr>
        <w:t xml:space="preserve">In applying and construing this uniform act, consideration must be given to the need to promote uniformity of the law with respect to its subject matter among states that enact it. </w:t>
      </w:r>
    </w:p>
    <w:p w14:paraId="7EDED84E" w14:textId="77777777" w:rsidR="00C23D73" w:rsidRPr="008B4357" w:rsidRDefault="00C23D73" w:rsidP="00C23D73">
      <w:pPr>
        <w:widowControl w:val="0"/>
        <w:suppressLineNumbers/>
        <w:spacing w:after="220" w:line="240" w:lineRule="auto"/>
        <w:ind w:left="720" w:right="720"/>
        <w:jc w:val="both"/>
        <w:rPr>
          <w:rFonts w:eastAsia="Calibri" w:cs="Times New Roman"/>
          <w:color w:val="auto"/>
          <w:sz w:val="20"/>
        </w:rPr>
      </w:pPr>
      <w:r w:rsidRPr="008B4357">
        <w:rPr>
          <w:rFonts w:eastAsia="Calibri" w:cs="Times New Roman"/>
          <w:color w:val="auto"/>
          <w:sz w:val="20"/>
        </w:rPr>
        <w:t>NOTE: The purpose of this bill is to enact the Uniform Public Expression Protection Act which was recommended for passage by the state Uniform Law Commission.</w:t>
      </w:r>
    </w:p>
    <w:p w14:paraId="461D1176" w14:textId="77777777" w:rsidR="00C23D73" w:rsidRPr="008B4357" w:rsidRDefault="00C23D73" w:rsidP="00C23D73">
      <w:pPr>
        <w:widowControl w:val="0"/>
        <w:suppressLineNumbers/>
        <w:spacing w:after="220" w:line="240" w:lineRule="auto"/>
        <w:ind w:left="720" w:right="720"/>
        <w:jc w:val="both"/>
        <w:rPr>
          <w:rFonts w:eastAsia="Calibri" w:cs="Times New Roman"/>
          <w:color w:val="auto"/>
          <w:sz w:val="20"/>
        </w:rPr>
      </w:pPr>
      <w:r w:rsidRPr="008B4357">
        <w:rPr>
          <w:rFonts w:eastAsia="Calibri" w:cs="Times New Roman"/>
          <w:color w:val="auto"/>
          <w:sz w:val="20"/>
        </w:rPr>
        <w:t>Strike-throughs indicate language that would be stricken from a heading or the present law and underscoring indicates new language that would be added.</w:t>
      </w:r>
    </w:p>
    <w:sectPr w:rsidR="00C23D73" w:rsidRPr="008B435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3126" w14:textId="77777777" w:rsidR="00C23D73" w:rsidRPr="00B844FE" w:rsidRDefault="00C23D73" w:rsidP="00B844FE">
      <w:r>
        <w:separator/>
      </w:r>
    </w:p>
  </w:endnote>
  <w:endnote w:type="continuationSeparator" w:id="0">
    <w:p w14:paraId="5A834023" w14:textId="77777777" w:rsidR="00C23D73" w:rsidRPr="00B844FE" w:rsidRDefault="00C23D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B1A2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BFC6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65258"/>
      <w:docPartObj>
        <w:docPartGallery w:val="Page Numbers (Bottom of Page)"/>
        <w:docPartUnique/>
      </w:docPartObj>
    </w:sdtPr>
    <w:sdtEndPr>
      <w:rPr>
        <w:noProof/>
      </w:rPr>
    </w:sdtEndPr>
    <w:sdtContent>
      <w:p w14:paraId="209BA940" w14:textId="5B2BAA7D" w:rsidR="000E13AD" w:rsidRDefault="000E13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327325"/>
      <w:docPartObj>
        <w:docPartGallery w:val="Page Numbers (Bottom of Page)"/>
        <w:docPartUnique/>
      </w:docPartObj>
    </w:sdtPr>
    <w:sdtEndPr>
      <w:rPr>
        <w:noProof/>
      </w:rPr>
    </w:sdtEndPr>
    <w:sdtContent>
      <w:p w14:paraId="0AAEB0A1" w14:textId="0F67E6C3" w:rsidR="00D678FD" w:rsidRDefault="00D6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0227"/>
      <w:docPartObj>
        <w:docPartGallery w:val="Page Numbers (Bottom of Page)"/>
        <w:docPartUnique/>
      </w:docPartObj>
    </w:sdtPr>
    <w:sdtEndPr>
      <w:rPr>
        <w:noProof/>
      </w:rPr>
    </w:sdtEndPr>
    <w:sdtContent>
      <w:p w14:paraId="73E4E3C4" w14:textId="33B68491" w:rsidR="00D678FD" w:rsidRDefault="00D6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57093"/>
      <w:docPartObj>
        <w:docPartGallery w:val="Page Numbers (Bottom of Page)"/>
        <w:docPartUnique/>
      </w:docPartObj>
    </w:sdtPr>
    <w:sdtEndPr>
      <w:rPr>
        <w:noProof/>
      </w:rPr>
    </w:sdtEndPr>
    <w:sdtContent>
      <w:p w14:paraId="65AF3DC8" w14:textId="1C360058" w:rsidR="00E45D01" w:rsidRDefault="00E45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64E66" w14:textId="486855C5" w:rsidR="00E45D01" w:rsidRDefault="00E45D0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725987"/>
      <w:docPartObj>
        <w:docPartGallery w:val="Page Numbers (Bottom of Page)"/>
        <w:docPartUnique/>
      </w:docPartObj>
    </w:sdtPr>
    <w:sdtEndPr>
      <w:rPr>
        <w:noProof/>
      </w:rPr>
    </w:sdtEndPr>
    <w:sdtContent>
      <w:p w14:paraId="49CF88F2" w14:textId="49A9810F" w:rsidR="00D678FD" w:rsidRDefault="00D6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51347"/>
      <w:docPartObj>
        <w:docPartGallery w:val="Page Numbers (Bottom of Page)"/>
        <w:docPartUnique/>
      </w:docPartObj>
    </w:sdtPr>
    <w:sdtEndPr>
      <w:rPr>
        <w:noProof/>
      </w:rPr>
    </w:sdtEndPr>
    <w:sdtContent>
      <w:p w14:paraId="6907B37A" w14:textId="49A22E5D" w:rsidR="00E45D01" w:rsidRDefault="00E45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AB720" w14:textId="556505F7" w:rsidR="00C857DF" w:rsidRDefault="00C857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E3FA" w14:textId="77777777" w:rsidR="00C23D73" w:rsidRPr="00B844FE" w:rsidRDefault="00C23D73" w:rsidP="00B844FE">
      <w:r>
        <w:separator/>
      </w:r>
    </w:p>
  </w:footnote>
  <w:footnote w:type="continuationSeparator" w:id="0">
    <w:p w14:paraId="5D6EAA0F" w14:textId="77777777" w:rsidR="00C23D73" w:rsidRPr="00B844FE" w:rsidRDefault="00C23D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FED" w14:textId="77777777" w:rsidR="002A0269" w:rsidRPr="00B844FE" w:rsidRDefault="009912AD">
    <w:pPr>
      <w:pStyle w:val="Header"/>
    </w:pPr>
    <w:sdt>
      <w:sdtPr>
        <w:id w:val="-684364211"/>
        <w:placeholder>
          <w:docPart w:val="C2D48ABD14C44F6196FD6AF1BAD8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D48ABD14C44F6196FD6AF1BAD8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E18B" w14:textId="74B5DA0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23D73">
      <w:rPr>
        <w:sz w:val="22"/>
        <w:szCs w:val="22"/>
      </w:rPr>
      <w:t>SB</w:t>
    </w:r>
    <w:r w:rsidR="009F525F">
      <w:rPr>
        <w:sz w:val="22"/>
        <w:szCs w:val="22"/>
      </w:rPr>
      <w:t>469</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23D73">
          <w:rPr>
            <w:sz w:val="22"/>
            <w:szCs w:val="22"/>
          </w:rPr>
          <w:t>2024R2964</w:t>
        </w:r>
        <w:r w:rsidR="0061137E">
          <w:rPr>
            <w:sz w:val="22"/>
            <w:szCs w:val="22"/>
          </w:rPr>
          <w:t>S  2024R3028H</w:t>
        </w:r>
      </w:sdtContent>
    </w:sdt>
  </w:p>
  <w:p w14:paraId="516E78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5A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378E"/>
    <w:multiLevelType w:val="hybridMultilevel"/>
    <w:tmpl w:val="A2CCD5CE"/>
    <w:lvl w:ilvl="0" w:tplc="7742B6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0A6110F"/>
    <w:multiLevelType w:val="hybridMultilevel"/>
    <w:tmpl w:val="5FDC190C"/>
    <w:lvl w:ilvl="0" w:tplc="570841C6">
      <w:start w:val="1"/>
      <w:numFmt w:val="decimal"/>
      <w:lvlText w:val="(%1)"/>
      <w:lvlJc w:val="left"/>
      <w:pPr>
        <w:ind w:left="2520" w:hanging="360"/>
      </w:pPr>
      <w:rPr>
        <w:rFonts w:ascii="Times New Roman" w:hAnsi="Times New Roman" w:cs="Times New Roman" w:hint="default"/>
        <w:sz w:val="24"/>
        <w:u w:val="singl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77A10B4"/>
    <w:multiLevelType w:val="hybridMultilevel"/>
    <w:tmpl w:val="F36659B8"/>
    <w:lvl w:ilvl="0" w:tplc="16DC7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97963856">
    <w:abstractNumId w:val="2"/>
  </w:num>
  <w:num w:numId="2" w16cid:durableId="1354503649">
    <w:abstractNumId w:val="2"/>
  </w:num>
  <w:num w:numId="3" w16cid:durableId="922953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67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371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73"/>
    <w:rsid w:val="0000526A"/>
    <w:rsid w:val="00040F55"/>
    <w:rsid w:val="000573A9"/>
    <w:rsid w:val="00085D22"/>
    <w:rsid w:val="00093AB0"/>
    <w:rsid w:val="000C5C77"/>
    <w:rsid w:val="000E13AD"/>
    <w:rsid w:val="000E3912"/>
    <w:rsid w:val="0010070F"/>
    <w:rsid w:val="0015112E"/>
    <w:rsid w:val="001552E7"/>
    <w:rsid w:val="001566B4"/>
    <w:rsid w:val="001A66B7"/>
    <w:rsid w:val="001B0366"/>
    <w:rsid w:val="001C279E"/>
    <w:rsid w:val="001D459E"/>
    <w:rsid w:val="0022348D"/>
    <w:rsid w:val="00236E5E"/>
    <w:rsid w:val="0027011C"/>
    <w:rsid w:val="00274200"/>
    <w:rsid w:val="00275740"/>
    <w:rsid w:val="002A0269"/>
    <w:rsid w:val="002B0881"/>
    <w:rsid w:val="002B1694"/>
    <w:rsid w:val="002B3B52"/>
    <w:rsid w:val="002D27F7"/>
    <w:rsid w:val="00303684"/>
    <w:rsid w:val="003143F5"/>
    <w:rsid w:val="00314854"/>
    <w:rsid w:val="0034431E"/>
    <w:rsid w:val="00350680"/>
    <w:rsid w:val="00366A4A"/>
    <w:rsid w:val="00394191"/>
    <w:rsid w:val="003C51CD"/>
    <w:rsid w:val="003C6034"/>
    <w:rsid w:val="00400B5C"/>
    <w:rsid w:val="00414F60"/>
    <w:rsid w:val="004368E0"/>
    <w:rsid w:val="004C13DD"/>
    <w:rsid w:val="004D3ABE"/>
    <w:rsid w:val="004E3441"/>
    <w:rsid w:val="00500579"/>
    <w:rsid w:val="005A2FE1"/>
    <w:rsid w:val="005A5366"/>
    <w:rsid w:val="0061137E"/>
    <w:rsid w:val="006369EB"/>
    <w:rsid w:val="00637E73"/>
    <w:rsid w:val="006865E9"/>
    <w:rsid w:val="00686E9A"/>
    <w:rsid w:val="00691F3E"/>
    <w:rsid w:val="00694BFB"/>
    <w:rsid w:val="006A106B"/>
    <w:rsid w:val="006C523D"/>
    <w:rsid w:val="006D05CB"/>
    <w:rsid w:val="006D4036"/>
    <w:rsid w:val="00710F4B"/>
    <w:rsid w:val="007A5259"/>
    <w:rsid w:val="007A7081"/>
    <w:rsid w:val="007B1AA7"/>
    <w:rsid w:val="007B7A42"/>
    <w:rsid w:val="007F1CF5"/>
    <w:rsid w:val="00834EDE"/>
    <w:rsid w:val="008736AA"/>
    <w:rsid w:val="008B4357"/>
    <w:rsid w:val="008D275D"/>
    <w:rsid w:val="0090065F"/>
    <w:rsid w:val="00944C39"/>
    <w:rsid w:val="00946186"/>
    <w:rsid w:val="00960E2C"/>
    <w:rsid w:val="00980327"/>
    <w:rsid w:val="00986478"/>
    <w:rsid w:val="009912AD"/>
    <w:rsid w:val="009B5557"/>
    <w:rsid w:val="009C49EC"/>
    <w:rsid w:val="009F1067"/>
    <w:rsid w:val="009F525F"/>
    <w:rsid w:val="009F65CC"/>
    <w:rsid w:val="00A31E01"/>
    <w:rsid w:val="00A527AD"/>
    <w:rsid w:val="00A62A31"/>
    <w:rsid w:val="00A718CF"/>
    <w:rsid w:val="00AB0F4D"/>
    <w:rsid w:val="00AE48A0"/>
    <w:rsid w:val="00AE61BE"/>
    <w:rsid w:val="00B16F25"/>
    <w:rsid w:val="00B24422"/>
    <w:rsid w:val="00B2578B"/>
    <w:rsid w:val="00B66B81"/>
    <w:rsid w:val="00B71E6F"/>
    <w:rsid w:val="00B80C20"/>
    <w:rsid w:val="00B844FE"/>
    <w:rsid w:val="00B86B4F"/>
    <w:rsid w:val="00BA1F84"/>
    <w:rsid w:val="00BC562B"/>
    <w:rsid w:val="00BD3492"/>
    <w:rsid w:val="00BF138C"/>
    <w:rsid w:val="00C23D73"/>
    <w:rsid w:val="00C33014"/>
    <w:rsid w:val="00C33434"/>
    <w:rsid w:val="00C34869"/>
    <w:rsid w:val="00C42EB6"/>
    <w:rsid w:val="00C62327"/>
    <w:rsid w:val="00C85096"/>
    <w:rsid w:val="00C857DF"/>
    <w:rsid w:val="00CB20EF"/>
    <w:rsid w:val="00CC1F3B"/>
    <w:rsid w:val="00CD12CB"/>
    <w:rsid w:val="00CD36CF"/>
    <w:rsid w:val="00CD67CC"/>
    <w:rsid w:val="00CF1DCA"/>
    <w:rsid w:val="00D579FC"/>
    <w:rsid w:val="00D678FD"/>
    <w:rsid w:val="00D81C16"/>
    <w:rsid w:val="00DB5451"/>
    <w:rsid w:val="00DD2C7A"/>
    <w:rsid w:val="00DE526B"/>
    <w:rsid w:val="00DF199D"/>
    <w:rsid w:val="00E01542"/>
    <w:rsid w:val="00E365F1"/>
    <w:rsid w:val="00E45D01"/>
    <w:rsid w:val="00E62F48"/>
    <w:rsid w:val="00E831B3"/>
    <w:rsid w:val="00E95FBC"/>
    <w:rsid w:val="00EC5E63"/>
    <w:rsid w:val="00EE70CB"/>
    <w:rsid w:val="00F41CA2"/>
    <w:rsid w:val="00F443C0"/>
    <w:rsid w:val="00F62EFB"/>
    <w:rsid w:val="00F676F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D8B8"/>
  <w15:chartTrackingRefBased/>
  <w15:docId w15:val="{2BCA3ED7-2436-45E9-A368-F62E05C6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C338CA7834E53AF9F6B8A731C465A"/>
        <w:category>
          <w:name w:val="General"/>
          <w:gallery w:val="placeholder"/>
        </w:category>
        <w:types>
          <w:type w:val="bbPlcHdr"/>
        </w:types>
        <w:behaviors>
          <w:behavior w:val="content"/>
        </w:behaviors>
        <w:guid w:val="{C557E383-AA50-4D45-AFEE-5B0DEB4F16FC}"/>
      </w:docPartPr>
      <w:docPartBody>
        <w:p w:rsidR="001242BC" w:rsidRDefault="001242BC">
          <w:pPr>
            <w:pStyle w:val="84AC338CA7834E53AF9F6B8A731C465A"/>
          </w:pPr>
          <w:r w:rsidRPr="00B844FE">
            <w:t>Prefix Text</w:t>
          </w:r>
        </w:p>
      </w:docPartBody>
    </w:docPart>
    <w:docPart>
      <w:docPartPr>
        <w:name w:val="C2D48ABD14C44F6196FD6AF1BAD82F2F"/>
        <w:category>
          <w:name w:val="General"/>
          <w:gallery w:val="placeholder"/>
        </w:category>
        <w:types>
          <w:type w:val="bbPlcHdr"/>
        </w:types>
        <w:behaviors>
          <w:behavior w:val="content"/>
        </w:behaviors>
        <w:guid w:val="{CBC8F59C-B47D-4EDD-8094-398BBE72805B}"/>
      </w:docPartPr>
      <w:docPartBody>
        <w:p w:rsidR="001242BC" w:rsidRDefault="001242BC">
          <w:pPr>
            <w:pStyle w:val="C2D48ABD14C44F6196FD6AF1BAD82F2F"/>
          </w:pPr>
          <w:r w:rsidRPr="00B844FE">
            <w:t>[Type here]</w:t>
          </w:r>
        </w:p>
      </w:docPartBody>
    </w:docPart>
    <w:docPart>
      <w:docPartPr>
        <w:name w:val="9091369DFF12486ABC6DC826035D96C4"/>
        <w:category>
          <w:name w:val="General"/>
          <w:gallery w:val="placeholder"/>
        </w:category>
        <w:types>
          <w:type w:val="bbPlcHdr"/>
        </w:types>
        <w:behaviors>
          <w:behavior w:val="content"/>
        </w:behaviors>
        <w:guid w:val="{00C1BA3F-1A2D-437D-844E-11E8E51E17B1}"/>
      </w:docPartPr>
      <w:docPartBody>
        <w:p w:rsidR="001242BC" w:rsidRDefault="001242BC">
          <w:pPr>
            <w:pStyle w:val="9091369DFF12486ABC6DC826035D96C4"/>
          </w:pPr>
          <w:r w:rsidRPr="00B844FE">
            <w:t>Number</w:t>
          </w:r>
        </w:p>
      </w:docPartBody>
    </w:docPart>
    <w:docPart>
      <w:docPartPr>
        <w:name w:val="E39228B3F3BF4F169F546155F2CB2468"/>
        <w:category>
          <w:name w:val="General"/>
          <w:gallery w:val="placeholder"/>
        </w:category>
        <w:types>
          <w:type w:val="bbPlcHdr"/>
        </w:types>
        <w:behaviors>
          <w:behavior w:val="content"/>
        </w:behaviors>
        <w:guid w:val="{F35DB82A-82F9-40DC-8FEC-3EF5C2EF60AA}"/>
      </w:docPartPr>
      <w:docPartBody>
        <w:p w:rsidR="001242BC" w:rsidRDefault="001242BC">
          <w:pPr>
            <w:pStyle w:val="E39228B3F3BF4F169F546155F2CB2468"/>
          </w:pPr>
          <w:r w:rsidRPr="00B844FE">
            <w:t>Enter Sponsors Here</w:t>
          </w:r>
        </w:p>
      </w:docPartBody>
    </w:docPart>
    <w:docPart>
      <w:docPartPr>
        <w:name w:val="51CA8A26E2024E34897BF839DE46D6F0"/>
        <w:category>
          <w:name w:val="General"/>
          <w:gallery w:val="placeholder"/>
        </w:category>
        <w:types>
          <w:type w:val="bbPlcHdr"/>
        </w:types>
        <w:behaviors>
          <w:behavior w:val="content"/>
        </w:behaviors>
        <w:guid w:val="{8B7CBADB-5E49-422C-8F5A-72A923EBABB5}"/>
      </w:docPartPr>
      <w:docPartBody>
        <w:p w:rsidR="001242BC" w:rsidRDefault="001242BC">
          <w:pPr>
            <w:pStyle w:val="51CA8A26E2024E34897BF839DE46D6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BC"/>
    <w:rsid w:val="0012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AC338CA7834E53AF9F6B8A731C465A">
    <w:name w:val="84AC338CA7834E53AF9F6B8A731C465A"/>
  </w:style>
  <w:style w:type="paragraph" w:customStyle="1" w:styleId="C2D48ABD14C44F6196FD6AF1BAD82F2F">
    <w:name w:val="C2D48ABD14C44F6196FD6AF1BAD82F2F"/>
  </w:style>
  <w:style w:type="paragraph" w:customStyle="1" w:styleId="9091369DFF12486ABC6DC826035D96C4">
    <w:name w:val="9091369DFF12486ABC6DC826035D96C4"/>
  </w:style>
  <w:style w:type="paragraph" w:customStyle="1" w:styleId="E39228B3F3BF4F169F546155F2CB2468">
    <w:name w:val="E39228B3F3BF4F169F546155F2CB2468"/>
  </w:style>
  <w:style w:type="character" w:styleId="PlaceholderText">
    <w:name w:val="Placeholder Text"/>
    <w:basedOn w:val="DefaultParagraphFont"/>
    <w:uiPriority w:val="99"/>
    <w:semiHidden/>
    <w:rPr>
      <w:color w:val="808080"/>
    </w:rPr>
  </w:style>
  <w:style w:type="paragraph" w:customStyle="1" w:styleId="51CA8A26E2024E34897BF839DE46D6F0">
    <w:name w:val="51CA8A26E2024E34897BF839DE46D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6</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12</cp:revision>
  <dcterms:created xsi:type="dcterms:W3CDTF">2024-01-11T03:41:00Z</dcterms:created>
  <dcterms:modified xsi:type="dcterms:W3CDTF">2024-01-15T19:36:00Z</dcterms:modified>
</cp:coreProperties>
</file>